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8" w:rsidRPr="0049178C" w:rsidRDefault="00701A31">
      <w:pPr>
        <w:rPr>
          <w:sz w:val="32"/>
        </w:rPr>
      </w:pPr>
      <w:r w:rsidRPr="0049178C">
        <w:rPr>
          <w:sz w:val="32"/>
        </w:rPr>
        <w:t xml:space="preserve">The </w:t>
      </w:r>
      <w:proofErr w:type="spellStart"/>
      <w:r w:rsidRPr="0049178C">
        <w:rPr>
          <w:sz w:val="32"/>
        </w:rPr>
        <w:t>Sharemarket</w:t>
      </w:r>
      <w:proofErr w:type="spellEnd"/>
      <w:r w:rsidRPr="0049178C">
        <w:rPr>
          <w:sz w:val="32"/>
        </w:rPr>
        <w:t xml:space="preserve"> </w:t>
      </w:r>
    </w:p>
    <w:p w:rsidR="00701A31" w:rsidRDefault="00701A31"/>
    <w:p w:rsidR="00701A31" w:rsidRDefault="0049178C" w:rsidP="00701A31">
      <w:pPr>
        <w:pStyle w:val="ListParagraph"/>
        <w:numPr>
          <w:ilvl w:val="0"/>
          <w:numId w:val="1"/>
        </w:numPr>
        <w:jc w:val="left"/>
      </w:pPr>
      <w:r w:rsidRPr="00701A31">
        <w:drawing>
          <wp:anchor distT="0" distB="0" distL="114300" distR="114300" simplePos="0" relativeHeight="251658240" behindDoc="0" locked="0" layoutInCell="1" allowOverlap="1" wp14:anchorId="74275479" wp14:editId="23E0AC75">
            <wp:simplePos x="0" y="0"/>
            <wp:positionH relativeFrom="column">
              <wp:posOffset>523875</wp:posOffset>
            </wp:positionH>
            <wp:positionV relativeFrom="paragraph">
              <wp:posOffset>37465</wp:posOffset>
            </wp:positionV>
            <wp:extent cx="5553710" cy="2781300"/>
            <wp:effectExtent l="0" t="0" r="889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A31" w:rsidRDefault="00701A31" w:rsidP="00701A31">
      <w:pPr>
        <w:ind w:left="360"/>
        <w:jc w:val="left"/>
      </w:pPr>
    </w:p>
    <w:p w:rsidR="00701A31" w:rsidRDefault="00701A31" w:rsidP="00701A31">
      <w:pPr>
        <w:ind w:left="360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</w:p>
    <w:p w:rsidR="00701A31" w:rsidRDefault="00701A31" w:rsidP="00701A31">
      <w:pPr>
        <w:pStyle w:val="ListParagraph"/>
        <w:jc w:val="left"/>
      </w:pPr>
      <w:r>
        <w:t>T</w:t>
      </w:r>
    </w:p>
    <w:p w:rsidR="00701A31" w:rsidRDefault="00701A31" w:rsidP="00701A31">
      <w:pPr>
        <w:pStyle w:val="ListParagraph"/>
        <w:jc w:val="left"/>
      </w:pPr>
    </w:p>
    <w:tbl>
      <w:tblPr>
        <w:tblStyle w:val="TableGrid"/>
        <w:tblW w:w="10356" w:type="dxa"/>
        <w:jc w:val="center"/>
        <w:tblInd w:w="326" w:type="dxa"/>
        <w:tblLook w:val="04A0" w:firstRow="1" w:lastRow="0" w:firstColumn="1" w:lastColumn="0" w:noHBand="0" w:noVBand="1"/>
      </w:tblPr>
      <w:tblGrid>
        <w:gridCol w:w="1022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49178C" w:rsidTr="0049178C">
        <w:trPr>
          <w:trHeight w:val="570"/>
          <w:jc w:val="center"/>
        </w:trPr>
        <w:tc>
          <w:tcPr>
            <w:tcW w:w="1230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 xml:space="preserve">Date 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Sep 14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Oct 14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Nov 14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Dec 14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Jan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Feb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Mar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Apr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May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Jun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Jul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Aug 15</w:t>
            </w:r>
          </w:p>
        </w:tc>
        <w:tc>
          <w:tcPr>
            <w:tcW w:w="702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Sep 15</w:t>
            </w:r>
          </w:p>
        </w:tc>
      </w:tr>
      <w:tr w:rsidR="0049178C" w:rsidTr="0049178C">
        <w:trPr>
          <w:trHeight w:val="570"/>
          <w:jc w:val="center"/>
        </w:trPr>
        <w:tc>
          <w:tcPr>
            <w:tcW w:w="1230" w:type="dxa"/>
          </w:tcPr>
          <w:p w:rsidR="00701A31" w:rsidRDefault="00701A31" w:rsidP="00701A31">
            <w:pPr>
              <w:pStyle w:val="ListParagraph"/>
              <w:ind w:left="0"/>
              <w:jc w:val="left"/>
            </w:pPr>
            <w:r>
              <w:t>Closing Price $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35.86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35.99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36.00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36.74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38.14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44.14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41.41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42.15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41.63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39.90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44.45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39.44</w:t>
            </w:r>
          </w:p>
        </w:tc>
        <w:tc>
          <w:tcPr>
            <w:tcW w:w="702" w:type="dxa"/>
          </w:tcPr>
          <w:p w:rsidR="00701A31" w:rsidRDefault="0049178C" w:rsidP="00701A31">
            <w:pPr>
              <w:pStyle w:val="ListParagraph"/>
              <w:ind w:left="0"/>
              <w:jc w:val="left"/>
            </w:pPr>
            <w:r>
              <w:t>37.88</w:t>
            </w:r>
          </w:p>
        </w:tc>
      </w:tr>
    </w:tbl>
    <w:p w:rsidR="00701A31" w:rsidRDefault="00701A31" w:rsidP="00701A31">
      <w:pPr>
        <w:jc w:val="left"/>
      </w:pPr>
    </w:p>
    <w:p w:rsidR="00701A31" w:rsidRPr="0049178C" w:rsidRDefault="00701A31" w:rsidP="00701A31">
      <w:pPr>
        <w:pStyle w:val="ListParagraph"/>
        <w:jc w:val="left"/>
        <w:rPr>
          <w:sz w:val="24"/>
          <w:szCs w:val="24"/>
        </w:rPr>
      </w:pPr>
      <w:r w:rsidRPr="0049178C">
        <w:rPr>
          <w:sz w:val="24"/>
          <w:szCs w:val="24"/>
        </w:rPr>
        <w:t>T</w:t>
      </w:r>
      <w:r w:rsidRPr="0049178C">
        <w:rPr>
          <w:sz w:val="24"/>
          <w:szCs w:val="24"/>
        </w:rPr>
        <w:t>he above table and chart tracks the share price history for ASX 200 from September 2014 to September 2015. The share price has gone up and at other times i</w:t>
      </w:r>
      <w:r w:rsidRPr="0049178C">
        <w:rPr>
          <w:sz w:val="24"/>
          <w:szCs w:val="24"/>
        </w:rPr>
        <w:t xml:space="preserve">t has also gone down. </w:t>
      </w:r>
    </w:p>
    <w:p w:rsidR="00701A31" w:rsidRPr="0049178C" w:rsidRDefault="00701A31" w:rsidP="00701A31">
      <w:pPr>
        <w:pStyle w:val="ListParagraph"/>
        <w:jc w:val="left"/>
        <w:rPr>
          <w:sz w:val="24"/>
          <w:szCs w:val="24"/>
        </w:rPr>
      </w:pPr>
    </w:p>
    <w:p w:rsidR="00701A31" w:rsidRDefault="00701A31" w:rsidP="00701A31">
      <w:pPr>
        <w:ind w:left="720"/>
        <w:jc w:val="left"/>
        <w:rPr>
          <w:sz w:val="24"/>
          <w:szCs w:val="24"/>
        </w:rPr>
      </w:pPr>
      <w:r w:rsidRPr="0049178C">
        <w:rPr>
          <w:sz w:val="24"/>
          <w:szCs w:val="24"/>
        </w:rPr>
        <w:t xml:space="preserve">What would your </w:t>
      </w:r>
      <w:r w:rsidRPr="0049178C">
        <w:rPr>
          <w:sz w:val="24"/>
          <w:szCs w:val="24"/>
        </w:rPr>
        <w:t>profit/loss in dollars and as a percentage</w:t>
      </w:r>
      <w:r w:rsidRPr="0049178C">
        <w:rPr>
          <w:sz w:val="24"/>
          <w:szCs w:val="24"/>
        </w:rPr>
        <w:t xml:space="preserve"> be if you had bought 1000 ASX shares in September 2014 and sold them in September 2015?</w:t>
      </w:r>
    </w:p>
    <w:p w:rsidR="0049178C" w:rsidRDefault="0049178C" w:rsidP="00701A31">
      <w:pPr>
        <w:ind w:left="720"/>
        <w:jc w:val="left"/>
        <w:rPr>
          <w:sz w:val="24"/>
          <w:szCs w:val="24"/>
        </w:rPr>
      </w:pPr>
    </w:p>
    <w:p w:rsidR="0049178C" w:rsidRPr="0049178C" w:rsidRDefault="0049178C" w:rsidP="00701A31">
      <w:pPr>
        <w:ind w:left="720"/>
        <w:jc w:val="left"/>
        <w:rPr>
          <w:sz w:val="24"/>
          <w:szCs w:val="24"/>
        </w:rPr>
      </w:pPr>
      <w:bookmarkStart w:id="0" w:name="_GoBack"/>
      <w:bookmarkEnd w:id="0"/>
    </w:p>
    <w:sectPr w:rsidR="0049178C" w:rsidRPr="0049178C" w:rsidSect="00491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128F"/>
    <w:multiLevelType w:val="hybridMultilevel"/>
    <w:tmpl w:val="D4B253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31"/>
    <w:rsid w:val="0049178C"/>
    <w:rsid w:val="004C6D38"/>
    <w:rsid w:val="00535E25"/>
    <w:rsid w:val="007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2016-03-01T13:03:00Z</dcterms:created>
  <dcterms:modified xsi:type="dcterms:W3CDTF">2016-03-01T13:40:00Z</dcterms:modified>
</cp:coreProperties>
</file>