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6B" w:rsidRPr="001D08B0" w:rsidRDefault="00102F75" w:rsidP="00102F75">
      <w:pPr>
        <w:jc w:val="center"/>
        <w:rPr>
          <w:b/>
          <w:color w:val="7096D2" w:themeColor="text2" w:themeTint="99"/>
          <w:sz w:val="36"/>
          <w:szCs w:val="36"/>
        </w:rPr>
      </w:pPr>
      <w:r w:rsidRPr="001D08B0">
        <w:rPr>
          <w:b/>
          <w:color w:val="7096D2" w:themeColor="text2" w:themeTint="99"/>
          <w:sz w:val="36"/>
          <w:szCs w:val="36"/>
        </w:rPr>
        <w:t>Equal Opportunity Legislation</w:t>
      </w:r>
    </w:p>
    <w:p w:rsidR="0025306B" w:rsidRDefault="0025306B"/>
    <w:p w:rsidR="00AE419D" w:rsidRPr="0092102C" w:rsidRDefault="00AE419D" w:rsidP="00AE419D">
      <w:pPr>
        <w:rPr>
          <w:color w:val="7096D2" w:themeColor="text2" w:themeTint="99"/>
          <w:sz w:val="28"/>
          <w:szCs w:val="28"/>
          <w:lang w:val="en"/>
        </w:rPr>
      </w:pPr>
      <w:r>
        <w:rPr>
          <w:b/>
          <w:color w:val="7096D2" w:themeColor="text2" w:themeTint="99"/>
          <w:sz w:val="28"/>
          <w:szCs w:val="28"/>
          <w:lang w:val="en"/>
        </w:rPr>
        <w:t xml:space="preserve">State Legislation: </w:t>
      </w:r>
      <w:r w:rsidRPr="0092102C">
        <w:rPr>
          <w:color w:val="7096D2" w:themeColor="text2" w:themeTint="99"/>
          <w:sz w:val="28"/>
          <w:szCs w:val="28"/>
          <w:lang w:val="en"/>
        </w:rPr>
        <w:t xml:space="preserve">Equal Opportunity Act 1984 </w:t>
      </w:r>
    </w:p>
    <w:p w:rsidR="00AE419D" w:rsidRPr="0092102C" w:rsidRDefault="00AE419D" w:rsidP="00AE419D">
      <w:pPr>
        <w:rPr>
          <w:lang w:val="en"/>
        </w:rPr>
      </w:pPr>
      <w:r w:rsidRPr="0092102C">
        <w:rPr>
          <w:lang w:val="en"/>
        </w:rPr>
        <w:t xml:space="preserve">The </w:t>
      </w:r>
      <w:hyperlink r:id="rId6" w:tgtFrame="_blank" w:tooltip="Western Australian Equal Opportunity Act 1984" w:history="1">
        <w:r w:rsidRPr="0092102C">
          <w:rPr>
            <w:rStyle w:val="Hyperlink"/>
            <w:lang w:val="en"/>
          </w:rPr>
          <w:t>Equal Opportunity Act 1984</w:t>
        </w:r>
      </w:hyperlink>
      <w:r w:rsidRPr="0092102C">
        <w:rPr>
          <w:lang w:val="en"/>
        </w:rPr>
        <w:t xml:space="preserve"> was enacted by the Western Australian Parliament in 1984 and came into operation in July 1985. Its objectives are to:</w:t>
      </w:r>
      <w:r w:rsidRPr="0092102C">
        <w:rPr>
          <w:lang w:val="en"/>
        </w:rPr>
        <w:br/>
      </w:r>
      <w:r w:rsidRPr="0092102C">
        <w:rPr>
          <w:lang w:val="en"/>
        </w:rPr>
        <w:br/>
        <w:t>a) to eliminate, so far as is possible, discrimination against persons on the grounds of sex, marital status, pregnancy, family responsibility or family status, race, religious or political conviction, impairment, age or, in certain cases,</w:t>
      </w:r>
      <w:r>
        <w:rPr>
          <w:lang w:val="en"/>
        </w:rPr>
        <w:t xml:space="preserve"> </w:t>
      </w:r>
      <w:r w:rsidRPr="0092102C">
        <w:rPr>
          <w:lang w:val="en"/>
        </w:rPr>
        <w:t>gender history in the areas of work, accommodation, education, the provision of goods, facilities and services, and the activities of clubs; and</w:t>
      </w:r>
      <w:r w:rsidRPr="0092102C">
        <w:rPr>
          <w:lang w:val="en"/>
        </w:rPr>
        <w:br/>
      </w:r>
      <w:r w:rsidRPr="0092102C">
        <w:rPr>
          <w:lang w:val="en"/>
        </w:rPr>
        <w:br/>
        <w:t>b) to eliminate, so far as is possible, sexual harassment and racial harassment in the workplace, and in educational institutions and sexual harassment and racial harassment related to accommodation: and</w:t>
      </w:r>
      <w:r w:rsidRPr="0092102C">
        <w:rPr>
          <w:lang w:val="en"/>
        </w:rPr>
        <w:br/>
      </w:r>
      <w:r w:rsidRPr="0092102C">
        <w:rPr>
          <w:lang w:val="en"/>
        </w:rPr>
        <w:br/>
        <w:t>c) to promote recognition and acceptance within the community of the equality of men and women; and</w:t>
      </w:r>
      <w:r w:rsidRPr="0092102C">
        <w:rPr>
          <w:lang w:val="en"/>
        </w:rPr>
        <w:br/>
      </w:r>
      <w:r w:rsidRPr="0092102C">
        <w:rPr>
          <w:lang w:val="en"/>
        </w:rPr>
        <w:br/>
        <w:t>d) to promote recognition and acceptance with the community of the equality of persons of all races, regardless of their religious or political convictions, their impairments or ages.</w:t>
      </w:r>
    </w:p>
    <w:p w:rsidR="00AE419D" w:rsidRDefault="00AE419D" w:rsidP="00AE419D">
      <w:pPr>
        <w:rPr>
          <w:lang w:val="en"/>
        </w:rPr>
      </w:pPr>
    </w:p>
    <w:p w:rsidR="00AE419D" w:rsidRPr="0092102C" w:rsidRDefault="00AE419D" w:rsidP="00AE419D">
      <w:pPr>
        <w:rPr>
          <w:color w:val="7096D2" w:themeColor="text2" w:themeTint="99"/>
          <w:lang w:val="en"/>
        </w:rPr>
      </w:pPr>
      <w:r w:rsidRPr="0092102C">
        <w:rPr>
          <w:color w:val="7096D2" w:themeColor="text2" w:themeTint="99"/>
          <w:lang w:val="en"/>
        </w:rPr>
        <w:t>Equal Opportunity Commission</w:t>
      </w:r>
    </w:p>
    <w:p w:rsidR="00AE419D" w:rsidRPr="0092102C" w:rsidRDefault="00AE419D" w:rsidP="00AE419D">
      <w:pPr>
        <w:rPr>
          <w:lang w:val="en"/>
        </w:rPr>
      </w:pPr>
      <w:r>
        <w:rPr>
          <w:noProof/>
        </w:rPr>
        <mc:AlternateContent>
          <mc:Choice Requires="wps">
            <w:drawing>
              <wp:anchor distT="0" distB="0" distL="114300" distR="114300" simplePos="0" relativeHeight="251663360" behindDoc="0" locked="0" layoutInCell="1" allowOverlap="1" wp14:anchorId="4C6CCE78" wp14:editId="0539AC43">
                <wp:simplePos x="0" y="0"/>
                <wp:positionH relativeFrom="column">
                  <wp:posOffset>2582545</wp:posOffset>
                </wp:positionH>
                <wp:positionV relativeFrom="paragraph">
                  <wp:posOffset>95885</wp:posOffset>
                </wp:positionV>
                <wp:extent cx="4274820" cy="3930650"/>
                <wp:effectExtent l="19050" t="19050" r="11430" b="12700"/>
                <wp:wrapSquare wrapText="bothSides"/>
                <wp:docPr id="1" name="Text Box 1"/>
                <wp:cNvGraphicFramePr/>
                <a:graphic xmlns:a="http://schemas.openxmlformats.org/drawingml/2006/main">
                  <a:graphicData uri="http://schemas.microsoft.com/office/word/2010/wordprocessingShape">
                    <wps:wsp>
                      <wps:cNvSpPr txBox="1"/>
                      <wps:spPr>
                        <a:xfrm>
                          <a:off x="0" y="0"/>
                          <a:ext cx="4274820" cy="3930650"/>
                        </a:xfrm>
                        <a:prstGeom prst="rect">
                          <a:avLst/>
                        </a:prstGeom>
                        <a:ln w="38100">
                          <a:solidFill>
                            <a:schemeClr val="tx2">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AE419D" w:rsidRPr="0092102C" w:rsidRDefault="00AE419D" w:rsidP="00AE419D">
                            <w:pPr>
                              <w:rPr>
                                <w:lang w:val="en"/>
                              </w:rPr>
                            </w:pPr>
                            <w:r w:rsidRPr="0092102C">
                              <w:rPr>
                                <w:lang w:val="en"/>
                              </w:rPr>
                              <w:t>The </w:t>
                            </w:r>
                            <w:hyperlink r:id="rId7" w:history="1">
                              <w:r w:rsidRPr="0092102C">
                                <w:rPr>
                                  <w:rStyle w:val="Hyperlink"/>
                                  <w:i/>
                                  <w:iCs/>
                                  <w:lang w:val="en"/>
                                </w:rPr>
                                <w:t>Equal Opportunity Act 1984</w:t>
                              </w:r>
                              <w:r w:rsidRPr="0092102C">
                                <w:rPr>
                                  <w:rStyle w:val="Hyperlink"/>
                                  <w:lang w:val="en"/>
                                </w:rPr>
                                <w:t> (EO Act)</w:t>
                              </w:r>
                            </w:hyperlink>
                            <w:r w:rsidRPr="0092102C">
                              <w:rPr>
                                <w:lang w:val="en"/>
                              </w:rPr>
                              <w:t> is the main piece of legislation underpinning the principles of equal opportunity in Western Australia. The EO Act addresses discrimination in the areas of employment, accommodation, education and the provision of goods, facilities, services and activities on the following grounds:</w:t>
                            </w:r>
                          </w:p>
                          <w:p w:rsidR="00AE419D" w:rsidRPr="0092102C" w:rsidRDefault="00AE419D" w:rsidP="00AE419D">
                            <w:pPr>
                              <w:numPr>
                                <w:ilvl w:val="0"/>
                                <w:numId w:val="5"/>
                              </w:numPr>
                              <w:rPr>
                                <w:lang w:val="en"/>
                              </w:rPr>
                            </w:pPr>
                            <w:r w:rsidRPr="0092102C">
                              <w:rPr>
                                <w:lang w:val="en"/>
                              </w:rPr>
                              <w:t>sex</w:t>
                            </w:r>
                          </w:p>
                          <w:p w:rsidR="00AE419D" w:rsidRPr="0092102C" w:rsidRDefault="00AE419D" w:rsidP="00AE419D">
                            <w:pPr>
                              <w:numPr>
                                <w:ilvl w:val="0"/>
                                <w:numId w:val="5"/>
                              </w:numPr>
                              <w:rPr>
                                <w:lang w:val="en"/>
                              </w:rPr>
                            </w:pPr>
                            <w:r w:rsidRPr="0092102C">
                              <w:rPr>
                                <w:lang w:val="en"/>
                              </w:rPr>
                              <w:t>sexual orientation</w:t>
                            </w:r>
                          </w:p>
                          <w:p w:rsidR="00AE419D" w:rsidRPr="0092102C" w:rsidRDefault="00AE419D" w:rsidP="00AE419D">
                            <w:pPr>
                              <w:numPr>
                                <w:ilvl w:val="0"/>
                                <w:numId w:val="5"/>
                              </w:numPr>
                              <w:rPr>
                                <w:lang w:val="en"/>
                              </w:rPr>
                            </w:pPr>
                            <w:r w:rsidRPr="0092102C">
                              <w:rPr>
                                <w:lang w:val="en"/>
                              </w:rPr>
                              <w:t>gender history</w:t>
                            </w:r>
                          </w:p>
                          <w:p w:rsidR="00AE419D" w:rsidRPr="0092102C" w:rsidRDefault="00AE419D" w:rsidP="00AE419D">
                            <w:pPr>
                              <w:numPr>
                                <w:ilvl w:val="0"/>
                                <w:numId w:val="5"/>
                              </w:numPr>
                              <w:rPr>
                                <w:lang w:val="en"/>
                              </w:rPr>
                            </w:pPr>
                            <w:r w:rsidRPr="0092102C">
                              <w:rPr>
                                <w:lang w:val="en"/>
                              </w:rPr>
                              <w:t>family responsibility or family status</w:t>
                            </w:r>
                          </w:p>
                          <w:p w:rsidR="00AE419D" w:rsidRPr="0092102C" w:rsidRDefault="00AE419D" w:rsidP="00AE419D">
                            <w:pPr>
                              <w:numPr>
                                <w:ilvl w:val="0"/>
                                <w:numId w:val="5"/>
                              </w:numPr>
                              <w:rPr>
                                <w:lang w:val="en"/>
                              </w:rPr>
                            </w:pPr>
                            <w:r w:rsidRPr="0092102C">
                              <w:rPr>
                                <w:lang w:val="en"/>
                              </w:rPr>
                              <w:t>marital status</w:t>
                            </w:r>
                          </w:p>
                          <w:p w:rsidR="00AE419D" w:rsidRPr="0092102C" w:rsidRDefault="00AE419D" w:rsidP="00AE419D">
                            <w:pPr>
                              <w:numPr>
                                <w:ilvl w:val="0"/>
                                <w:numId w:val="5"/>
                              </w:numPr>
                              <w:rPr>
                                <w:lang w:val="en"/>
                              </w:rPr>
                            </w:pPr>
                            <w:r w:rsidRPr="0092102C">
                              <w:rPr>
                                <w:lang w:val="en"/>
                              </w:rPr>
                              <w:t>race</w:t>
                            </w:r>
                          </w:p>
                          <w:p w:rsidR="00AE419D" w:rsidRPr="0092102C" w:rsidRDefault="00AE419D" w:rsidP="00AE419D">
                            <w:pPr>
                              <w:numPr>
                                <w:ilvl w:val="0"/>
                                <w:numId w:val="5"/>
                              </w:numPr>
                              <w:rPr>
                                <w:lang w:val="en"/>
                              </w:rPr>
                            </w:pPr>
                            <w:r w:rsidRPr="0092102C">
                              <w:rPr>
                                <w:lang w:val="en"/>
                              </w:rPr>
                              <w:t>religious or political conviction</w:t>
                            </w:r>
                          </w:p>
                          <w:p w:rsidR="00AE419D" w:rsidRPr="0092102C" w:rsidRDefault="00AE419D" w:rsidP="00AE419D">
                            <w:pPr>
                              <w:numPr>
                                <w:ilvl w:val="0"/>
                                <w:numId w:val="5"/>
                              </w:numPr>
                              <w:rPr>
                                <w:lang w:val="en"/>
                              </w:rPr>
                            </w:pPr>
                            <w:r w:rsidRPr="0092102C">
                              <w:rPr>
                                <w:lang w:val="en"/>
                              </w:rPr>
                              <w:t>age</w:t>
                            </w:r>
                          </w:p>
                          <w:p w:rsidR="00AE419D" w:rsidRPr="0092102C" w:rsidRDefault="00AE419D" w:rsidP="00AE419D">
                            <w:pPr>
                              <w:numPr>
                                <w:ilvl w:val="0"/>
                                <w:numId w:val="5"/>
                              </w:numPr>
                              <w:rPr>
                                <w:lang w:val="en"/>
                              </w:rPr>
                            </w:pPr>
                            <w:r w:rsidRPr="0092102C">
                              <w:rPr>
                                <w:lang w:val="en"/>
                              </w:rPr>
                              <w:t>impairment</w:t>
                            </w:r>
                          </w:p>
                          <w:p w:rsidR="00AE419D" w:rsidRPr="00F34CCF" w:rsidRDefault="00AE419D" w:rsidP="00AE419D">
                            <w:pPr>
                              <w:numPr>
                                <w:ilvl w:val="0"/>
                                <w:numId w:val="5"/>
                              </w:numPr>
                              <w:rPr>
                                <w:lang w:val="en"/>
                              </w:rPr>
                            </w:pPr>
                            <w:r w:rsidRPr="0092102C">
                              <w:rPr>
                                <w:lang w:val="en"/>
                              </w:rPr>
                              <w:t>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3.35pt;margin-top:7.55pt;width:336.6pt;height: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" fillcolor="white [3201]" strokecolor="#7096d2 [1951]" strokeweight="3pt">
                <v:textbox>
                  <w:txbxContent>
                    <w:p w:rsidR="00AE419D" w:rsidRPr="0092102C" w:rsidRDefault="00AE419D" w:rsidP="00AE419D">
                      <w:pPr>
                        <w:rPr>
                          <w:lang w:val="en"/>
                        </w:rPr>
                      </w:pPr>
                      <w:r w:rsidRPr="0092102C">
                        <w:rPr>
                          <w:lang w:val="en"/>
                        </w:rPr>
                        <w:t>The </w:t>
                      </w:r>
                      <w:hyperlink r:id="rId8" w:history="1">
                        <w:r w:rsidRPr="0092102C">
                          <w:rPr>
                            <w:rStyle w:val="Hyperlink"/>
                            <w:i/>
                            <w:iCs/>
                            <w:lang w:val="en"/>
                          </w:rPr>
                          <w:t>Equal Opportunity Act 1984</w:t>
                        </w:r>
                        <w:r w:rsidRPr="0092102C">
                          <w:rPr>
                            <w:rStyle w:val="Hyperlink"/>
                            <w:lang w:val="en"/>
                          </w:rPr>
                          <w:t> (EO Act)</w:t>
                        </w:r>
                      </w:hyperlink>
                      <w:r w:rsidRPr="0092102C">
                        <w:rPr>
                          <w:lang w:val="en"/>
                        </w:rPr>
                        <w:t> is the main piece of legislation underpinning the principles of equal opportunity in Western Australia. The EO Act addresses discrimination in the areas of employment, accommodation, education and the provision of goods, facilities, services and activities on the following grounds:</w:t>
                      </w:r>
                    </w:p>
                    <w:p w:rsidR="00AE419D" w:rsidRPr="0092102C" w:rsidRDefault="00AE419D" w:rsidP="00AE419D">
                      <w:pPr>
                        <w:numPr>
                          <w:ilvl w:val="0"/>
                          <w:numId w:val="5"/>
                        </w:numPr>
                        <w:rPr>
                          <w:lang w:val="en"/>
                        </w:rPr>
                      </w:pPr>
                      <w:r w:rsidRPr="0092102C">
                        <w:rPr>
                          <w:lang w:val="en"/>
                        </w:rPr>
                        <w:t>sex</w:t>
                      </w:r>
                    </w:p>
                    <w:p w:rsidR="00AE419D" w:rsidRPr="0092102C" w:rsidRDefault="00AE419D" w:rsidP="00AE419D">
                      <w:pPr>
                        <w:numPr>
                          <w:ilvl w:val="0"/>
                          <w:numId w:val="5"/>
                        </w:numPr>
                        <w:rPr>
                          <w:lang w:val="en"/>
                        </w:rPr>
                      </w:pPr>
                      <w:r w:rsidRPr="0092102C">
                        <w:rPr>
                          <w:lang w:val="en"/>
                        </w:rPr>
                        <w:t>sexual orientation</w:t>
                      </w:r>
                    </w:p>
                    <w:p w:rsidR="00AE419D" w:rsidRPr="0092102C" w:rsidRDefault="00AE419D" w:rsidP="00AE419D">
                      <w:pPr>
                        <w:numPr>
                          <w:ilvl w:val="0"/>
                          <w:numId w:val="5"/>
                        </w:numPr>
                        <w:rPr>
                          <w:lang w:val="en"/>
                        </w:rPr>
                      </w:pPr>
                      <w:r w:rsidRPr="0092102C">
                        <w:rPr>
                          <w:lang w:val="en"/>
                        </w:rPr>
                        <w:t>gender history</w:t>
                      </w:r>
                    </w:p>
                    <w:p w:rsidR="00AE419D" w:rsidRPr="0092102C" w:rsidRDefault="00AE419D" w:rsidP="00AE419D">
                      <w:pPr>
                        <w:numPr>
                          <w:ilvl w:val="0"/>
                          <w:numId w:val="5"/>
                        </w:numPr>
                        <w:rPr>
                          <w:lang w:val="en"/>
                        </w:rPr>
                      </w:pPr>
                      <w:r w:rsidRPr="0092102C">
                        <w:rPr>
                          <w:lang w:val="en"/>
                        </w:rPr>
                        <w:t>family responsibility or family status</w:t>
                      </w:r>
                    </w:p>
                    <w:p w:rsidR="00AE419D" w:rsidRPr="0092102C" w:rsidRDefault="00AE419D" w:rsidP="00AE419D">
                      <w:pPr>
                        <w:numPr>
                          <w:ilvl w:val="0"/>
                          <w:numId w:val="5"/>
                        </w:numPr>
                        <w:rPr>
                          <w:lang w:val="en"/>
                        </w:rPr>
                      </w:pPr>
                      <w:r w:rsidRPr="0092102C">
                        <w:rPr>
                          <w:lang w:val="en"/>
                        </w:rPr>
                        <w:t>marital status</w:t>
                      </w:r>
                    </w:p>
                    <w:p w:rsidR="00AE419D" w:rsidRPr="0092102C" w:rsidRDefault="00AE419D" w:rsidP="00AE419D">
                      <w:pPr>
                        <w:numPr>
                          <w:ilvl w:val="0"/>
                          <w:numId w:val="5"/>
                        </w:numPr>
                        <w:rPr>
                          <w:lang w:val="en"/>
                        </w:rPr>
                      </w:pPr>
                      <w:r w:rsidRPr="0092102C">
                        <w:rPr>
                          <w:lang w:val="en"/>
                        </w:rPr>
                        <w:t>race</w:t>
                      </w:r>
                    </w:p>
                    <w:p w:rsidR="00AE419D" w:rsidRPr="0092102C" w:rsidRDefault="00AE419D" w:rsidP="00AE419D">
                      <w:pPr>
                        <w:numPr>
                          <w:ilvl w:val="0"/>
                          <w:numId w:val="5"/>
                        </w:numPr>
                        <w:rPr>
                          <w:lang w:val="en"/>
                        </w:rPr>
                      </w:pPr>
                      <w:r w:rsidRPr="0092102C">
                        <w:rPr>
                          <w:lang w:val="en"/>
                        </w:rPr>
                        <w:t>religious or political conviction</w:t>
                      </w:r>
                    </w:p>
                    <w:p w:rsidR="00AE419D" w:rsidRPr="0092102C" w:rsidRDefault="00AE419D" w:rsidP="00AE419D">
                      <w:pPr>
                        <w:numPr>
                          <w:ilvl w:val="0"/>
                          <w:numId w:val="5"/>
                        </w:numPr>
                        <w:rPr>
                          <w:lang w:val="en"/>
                        </w:rPr>
                      </w:pPr>
                      <w:r w:rsidRPr="0092102C">
                        <w:rPr>
                          <w:lang w:val="en"/>
                        </w:rPr>
                        <w:t>age</w:t>
                      </w:r>
                    </w:p>
                    <w:p w:rsidR="00AE419D" w:rsidRPr="0092102C" w:rsidRDefault="00AE419D" w:rsidP="00AE419D">
                      <w:pPr>
                        <w:numPr>
                          <w:ilvl w:val="0"/>
                          <w:numId w:val="5"/>
                        </w:numPr>
                        <w:rPr>
                          <w:lang w:val="en"/>
                        </w:rPr>
                      </w:pPr>
                      <w:r w:rsidRPr="0092102C">
                        <w:rPr>
                          <w:lang w:val="en"/>
                        </w:rPr>
                        <w:t>impairment</w:t>
                      </w:r>
                    </w:p>
                    <w:p w:rsidR="00AE419D" w:rsidRPr="00F34CCF" w:rsidRDefault="00AE419D" w:rsidP="00AE419D">
                      <w:pPr>
                        <w:numPr>
                          <w:ilvl w:val="0"/>
                          <w:numId w:val="5"/>
                        </w:numPr>
                        <w:rPr>
                          <w:lang w:val="en"/>
                        </w:rPr>
                      </w:pPr>
                      <w:r w:rsidRPr="0092102C">
                        <w:rPr>
                          <w:lang w:val="en"/>
                        </w:rPr>
                        <w:t>pregnancy</w:t>
                      </w:r>
                    </w:p>
                  </w:txbxContent>
                </v:textbox>
                <w10:wrap type="square"/>
              </v:shape>
            </w:pict>
          </mc:Fallback>
        </mc:AlternateContent>
      </w:r>
      <w:r w:rsidRPr="0092102C">
        <w:rPr>
          <w:lang w:val="en"/>
        </w:rPr>
        <w:t>The Commissioner for Equal Opportunity established the Equal Opportunity Commission to investigate and conciliate complaints lodged by people who believe they have been discriminated against; to conduct community education and training programs; and provide community information on equal opportunity.</w:t>
      </w:r>
      <w:r w:rsidRPr="0092102C">
        <w:rPr>
          <w:lang w:val="en"/>
        </w:rPr>
        <w:br/>
      </w:r>
      <w:r w:rsidRPr="0092102C">
        <w:rPr>
          <w:lang w:val="en"/>
        </w:rPr>
        <w:br/>
        <w:t>The Commissioner also conducts investigations, research and inquiries into all matters relating to discrimination.</w:t>
      </w:r>
    </w:p>
    <w:p w:rsidR="0092102C" w:rsidRDefault="0092102C">
      <w:pPr>
        <w:rPr>
          <w:color w:val="7096D2" w:themeColor="text2" w:themeTint="99"/>
        </w:rPr>
      </w:pPr>
    </w:p>
    <w:p w:rsidR="0092102C" w:rsidRDefault="0092102C">
      <w:pPr>
        <w:rPr>
          <w:color w:val="7096D2" w:themeColor="text2" w:themeTint="99"/>
        </w:rPr>
      </w:pPr>
    </w:p>
    <w:p w:rsidR="0092102C" w:rsidRDefault="0092102C">
      <w:pPr>
        <w:rPr>
          <w:color w:val="7096D2" w:themeColor="text2" w:themeTint="99"/>
        </w:rPr>
      </w:pPr>
    </w:p>
    <w:p w:rsidR="0092102C" w:rsidRDefault="0092102C">
      <w:pPr>
        <w:rPr>
          <w:color w:val="7096D2" w:themeColor="text2" w:themeTint="99"/>
        </w:rPr>
      </w:pPr>
    </w:p>
    <w:p w:rsidR="00AE419D" w:rsidRPr="0092102C" w:rsidRDefault="00AE419D" w:rsidP="00AE419D">
      <w:pPr>
        <w:rPr>
          <w:color w:val="7096D2" w:themeColor="text2" w:themeTint="99"/>
          <w:sz w:val="28"/>
          <w:szCs w:val="28"/>
          <w:lang w:val="en"/>
        </w:rPr>
      </w:pPr>
      <w:r>
        <w:rPr>
          <w:b/>
          <w:color w:val="7096D2" w:themeColor="text2" w:themeTint="99"/>
          <w:sz w:val="28"/>
          <w:szCs w:val="28"/>
          <w:lang w:val="en"/>
        </w:rPr>
        <w:t>Federal</w:t>
      </w:r>
      <w:r>
        <w:rPr>
          <w:b/>
          <w:color w:val="7096D2" w:themeColor="text2" w:themeTint="99"/>
          <w:sz w:val="28"/>
          <w:szCs w:val="28"/>
          <w:lang w:val="en"/>
        </w:rPr>
        <w:t xml:space="preserve"> Legislation: </w:t>
      </w:r>
      <w:r>
        <w:rPr>
          <w:color w:val="7096D2" w:themeColor="text2" w:themeTint="99"/>
          <w:sz w:val="28"/>
          <w:szCs w:val="28"/>
          <w:lang w:val="en"/>
        </w:rPr>
        <w:t>Australian Human Rights Commission Act 1986</w:t>
      </w:r>
      <w:r w:rsidRPr="0092102C">
        <w:rPr>
          <w:color w:val="7096D2" w:themeColor="text2" w:themeTint="99"/>
          <w:sz w:val="28"/>
          <w:szCs w:val="28"/>
          <w:lang w:val="en"/>
        </w:rPr>
        <w:t xml:space="preserve"> </w:t>
      </w:r>
    </w:p>
    <w:p w:rsidR="00AE419D" w:rsidRPr="00AE419D" w:rsidRDefault="00AE419D" w:rsidP="00AE419D">
      <w:pPr>
        <w:rPr>
          <w:lang w:val="en"/>
        </w:rPr>
      </w:pPr>
      <w:r w:rsidRPr="00AE419D">
        <w:rPr>
          <w:lang w:val="en"/>
        </w:rPr>
        <w:t>Leading the promotion and protection of human rights in Australia by:</w:t>
      </w:r>
    </w:p>
    <w:p w:rsidR="00AE419D" w:rsidRPr="00AE419D" w:rsidRDefault="00AE419D" w:rsidP="00AE419D">
      <w:pPr>
        <w:numPr>
          <w:ilvl w:val="0"/>
          <w:numId w:val="7"/>
        </w:numPr>
        <w:rPr>
          <w:lang w:val="en"/>
        </w:rPr>
      </w:pPr>
      <w:r w:rsidRPr="00AE419D">
        <w:rPr>
          <w:lang w:val="en"/>
        </w:rPr>
        <w:t>making human rights values part of everyday life and language;</w:t>
      </w:r>
    </w:p>
    <w:p w:rsidR="00AE419D" w:rsidRPr="00AE419D" w:rsidRDefault="00AE419D" w:rsidP="00AE419D">
      <w:pPr>
        <w:numPr>
          <w:ilvl w:val="0"/>
          <w:numId w:val="7"/>
        </w:numPr>
        <w:rPr>
          <w:lang w:val="en"/>
        </w:rPr>
      </w:pPr>
      <w:r w:rsidRPr="00AE419D">
        <w:rPr>
          <w:lang w:val="en"/>
        </w:rPr>
        <w:t>empowering all people to understand and exercise their human rights;</w:t>
      </w:r>
    </w:p>
    <w:p w:rsidR="00AE419D" w:rsidRPr="00AE419D" w:rsidRDefault="00AE419D" w:rsidP="00AE419D">
      <w:pPr>
        <w:numPr>
          <w:ilvl w:val="0"/>
          <w:numId w:val="7"/>
        </w:numPr>
        <w:rPr>
          <w:lang w:val="en"/>
        </w:rPr>
      </w:pPr>
      <w:r w:rsidRPr="00AE419D">
        <w:rPr>
          <w:lang w:val="en"/>
        </w:rPr>
        <w:t>working with individuals, community, business and government to inspire action;</w:t>
      </w:r>
    </w:p>
    <w:p w:rsidR="00AE419D" w:rsidRPr="00AE419D" w:rsidRDefault="00AE419D" w:rsidP="00AE419D">
      <w:pPr>
        <w:numPr>
          <w:ilvl w:val="0"/>
          <w:numId w:val="7"/>
        </w:numPr>
        <w:rPr>
          <w:lang w:val="en"/>
        </w:rPr>
      </w:pPr>
      <w:r w:rsidRPr="00AE419D">
        <w:rPr>
          <w:lang w:val="en"/>
        </w:rPr>
        <w:t>keeping government accountable to national and international human rights standards;</w:t>
      </w:r>
    </w:p>
    <w:p w:rsidR="00AE419D" w:rsidRPr="00AE419D" w:rsidRDefault="00AE419D" w:rsidP="00AE419D">
      <w:pPr>
        <w:rPr>
          <w:lang w:val="en"/>
        </w:rPr>
      </w:pPr>
      <w:r w:rsidRPr="00AE419D">
        <w:rPr>
          <w:lang w:val="en"/>
        </w:rPr>
        <w:t>We do this by:</w:t>
      </w:r>
    </w:p>
    <w:p w:rsidR="00AE419D" w:rsidRPr="00AE419D" w:rsidRDefault="00AE419D" w:rsidP="00AE419D">
      <w:pPr>
        <w:numPr>
          <w:ilvl w:val="0"/>
          <w:numId w:val="8"/>
        </w:numPr>
        <w:rPr>
          <w:lang w:val="en"/>
        </w:rPr>
      </w:pPr>
      <w:r w:rsidRPr="00AE419D">
        <w:rPr>
          <w:lang w:val="en"/>
        </w:rPr>
        <w:t>listening, learning, communicating and educating;</w:t>
      </w:r>
    </w:p>
    <w:p w:rsidR="00AE419D" w:rsidRPr="00AE419D" w:rsidRDefault="00AE419D" w:rsidP="00AE419D">
      <w:pPr>
        <w:numPr>
          <w:ilvl w:val="0"/>
          <w:numId w:val="8"/>
        </w:numPr>
        <w:rPr>
          <w:lang w:val="en"/>
        </w:rPr>
      </w:pPr>
      <w:r w:rsidRPr="00AE419D">
        <w:rPr>
          <w:lang w:val="en"/>
        </w:rPr>
        <w:t>being open, expert, committed and impartial;</w:t>
      </w:r>
    </w:p>
    <w:p w:rsidR="00AE419D" w:rsidRPr="00AE419D" w:rsidRDefault="00AE419D" w:rsidP="00AE419D">
      <w:pPr>
        <w:numPr>
          <w:ilvl w:val="0"/>
          <w:numId w:val="8"/>
        </w:numPr>
        <w:rPr>
          <w:lang w:val="en"/>
        </w:rPr>
      </w:pPr>
      <w:proofErr w:type="gramStart"/>
      <w:r w:rsidRPr="00AE419D">
        <w:rPr>
          <w:lang w:val="en"/>
        </w:rPr>
        <w:t>fostering</w:t>
      </w:r>
      <w:proofErr w:type="gramEnd"/>
      <w:r w:rsidRPr="00AE419D">
        <w:rPr>
          <w:lang w:val="en"/>
        </w:rPr>
        <w:t xml:space="preserve"> a collaborative, diverse, flexible, respectful and innovative workplace.</w:t>
      </w:r>
    </w:p>
    <w:p w:rsidR="00AE419D" w:rsidRPr="00AE419D" w:rsidRDefault="00AE419D" w:rsidP="00AE419D">
      <w:pPr>
        <w:rPr>
          <w:b/>
          <w:bCs/>
          <w:lang w:val="en"/>
        </w:rPr>
      </w:pPr>
      <w:r w:rsidRPr="00AE419D">
        <w:rPr>
          <w:b/>
          <w:bCs/>
          <w:lang w:val="en"/>
        </w:rPr>
        <w:t>Our statutory responsibilities include:</w:t>
      </w:r>
    </w:p>
    <w:p w:rsidR="00AE419D" w:rsidRPr="00AE419D" w:rsidRDefault="00AE419D" w:rsidP="00AE419D">
      <w:pPr>
        <w:numPr>
          <w:ilvl w:val="0"/>
          <w:numId w:val="9"/>
        </w:numPr>
        <w:rPr>
          <w:lang w:val="en"/>
        </w:rPr>
      </w:pPr>
      <w:r w:rsidRPr="00AE419D">
        <w:rPr>
          <w:lang w:val="en"/>
        </w:rPr>
        <w:t>education and public awareness</w:t>
      </w:r>
    </w:p>
    <w:p w:rsidR="00AE419D" w:rsidRPr="00AE419D" w:rsidRDefault="00AE419D" w:rsidP="00AE419D">
      <w:pPr>
        <w:numPr>
          <w:ilvl w:val="0"/>
          <w:numId w:val="9"/>
        </w:numPr>
        <w:rPr>
          <w:lang w:val="en"/>
        </w:rPr>
      </w:pPr>
      <w:r w:rsidRPr="00AE419D">
        <w:rPr>
          <w:lang w:val="en"/>
        </w:rPr>
        <w:t>discrimination and human rights complaints</w:t>
      </w:r>
    </w:p>
    <w:p w:rsidR="00AE419D" w:rsidRPr="00AE419D" w:rsidRDefault="00AE419D" w:rsidP="00AE419D">
      <w:pPr>
        <w:numPr>
          <w:ilvl w:val="0"/>
          <w:numId w:val="9"/>
        </w:numPr>
        <w:rPr>
          <w:lang w:val="en"/>
        </w:rPr>
      </w:pPr>
      <w:r w:rsidRPr="00AE419D">
        <w:rPr>
          <w:lang w:val="en"/>
        </w:rPr>
        <w:t>human rights compliance</w:t>
      </w:r>
    </w:p>
    <w:p w:rsidR="00AE419D" w:rsidRPr="00AE419D" w:rsidRDefault="00AE419D" w:rsidP="00AE419D">
      <w:pPr>
        <w:numPr>
          <w:ilvl w:val="0"/>
          <w:numId w:val="9"/>
        </w:numPr>
        <w:rPr>
          <w:lang w:val="en"/>
        </w:rPr>
      </w:pPr>
      <w:proofErr w:type="gramStart"/>
      <w:r w:rsidRPr="00AE419D">
        <w:rPr>
          <w:lang w:val="en"/>
        </w:rPr>
        <w:t>policy</w:t>
      </w:r>
      <w:proofErr w:type="gramEnd"/>
      <w:r w:rsidRPr="00AE419D">
        <w:rPr>
          <w:lang w:val="en"/>
        </w:rPr>
        <w:t xml:space="preserve"> and legislative development.</w:t>
      </w:r>
    </w:p>
    <w:p w:rsidR="00AE419D" w:rsidRPr="00AE419D" w:rsidRDefault="00AE419D" w:rsidP="00AE419D">
      <w:pPr>
        <w:rPr>
          <w:lang w:val="en"/>
        </w:rPr>
      </w:pPr>
      <w:r w:rsidRPr="00AE419D">
        <w:rPr>
          <w:lang w:val="en"/>
        </w:rPr>
        <w:t>We do this through:</w:t>
      </w:r>
    </w:p>
    <w:p w:rsidR="00AE419D" w:rsidRPr="00AE419D" w:rsidRDefault="00AE419D" w:rsidP="00AE419D">
      <w:pPr>
        <w:numPr>
          <w:ilvl w:val="0"/>
          <w:numId w:val="10"/>
        </w:numPr>
        <w:rPr>
          <w:lang w:val="en"/>
        </w:rPr>
      </w:pPr>
      <w:r w:rsidRPr="00AE419D">
        <w:rPr>
          <w:lang w:val="en"/>
        </w:rPr>
        <w:t>resolving </w:t>
      </w:r>
      <w:hyperlink r:id="rId9" w:history="1">
        <w:r w:rsidRPr="00AE419D">
          <w:rPr>
            <w:rStyle w:val="Hyperlink"/>
            <w:color w:val="auto"/>
            <w:lang w:val="en"/>
          </w:rPr>
          <w:t>complaints</w:t>
        </w:r>
      </w:hyperlink>
      <w:r w:rsidRPr="00AE419D">
        <w:rPr>
          <w:lang w:val="en"/>
        </w:rPr>
        <w:t> of discrimination or breaches of human rights under </w:t>
      </w:r>
      <w:hyperlink r:id="rId10" w:history="1">
        <w:r w:rsidRPr="00AE419D">
          <w:rPr>
            <w:rStyle w:val="Hyperlink"/>
            <w:color w:val="auto"/>
            <w:lang w:val="en"/>
          </w:rPr>
          <w:t>federal laws</w:t>
        </w:r>
      </w:hyperlink>
    </w:p>
    <w:p w:rsidR="00AE419D" w:rsidRPr="00AE419D" w:rsidRDefault="00AE419D" w:rsidP="00AE419D">
      <w:pPr>
        <w:numPr>
          <w:ilvl w:val="0"/>
          <w:numId w:val="10"/>
        </w:numPr>
        <w:rPr>
          <w:lang w:val="en"/>
        </w:rPr>
      </w:pPr>
      <w:r w:rsidRPr="00AE419D">
        <w:rPr>
          <w:lang w:val="en"/>
        </w:rPr>
        <w:t>holding public inquiries into human rights issues of national importance</w:t>
      </w:r>
    </w:p>
    <w:p w:rsidR="00AE419D" w:rsidRPr="00AE419D" w:rsidRDefault="009237EE" w:rsidP="00AE419D">
      <w:pPr>
        <w:numPr>
          <w:ilvl w:val="0"/>
          <w:numId w:val="10"/>
        </w:numPr>
        <w:rPr>
          <w:lang w:val="en"/>
        </w:rPr>
      </w:pPr>
      <w:r>
        <w:rPr>
          <w:noProof/>
        </w:rPr>
        <mc:AlternateContent>
          <mc:Choice Requires="wps">
            <w:drawing>
              <wp:anchor distT="0" distB="0" distL="114300" distR="114300" simplePos="0" relativeHeight="251661312" behindDoc="1" locked="0" layoutInCell="1" allowOverlap="1" wp14:anchorId="78B9FB74" wp14:editId="11F08EF3">
                <wp:simplePos x="0" y="0"/>
                <wp:positionH relativeFrom="column">
                  <wp:posOffset>2490470</wp:posOffset>
                </wp:positionH>
                <wp:positionV relativeFrom="paragraph">
                  <wp:posOffset>26670</wp:posOffset>
                </wp:positionV>
                <wp:extent cx="4267200" cy="3738880"/>
                <wp:effectExtent l="19050" t="19050" r="19050" b="13970"/>
                <wp:wrapTight wrapText="bothSides">
                  <wp:wrapPolygon edited="0">
                    <wp:start x="-96" y="-110"/>
                    <wp:lineTo x="-96" y="21571"/>
                    <wp:lineTo x="21600" y="21571"/>
                    <wp:lineTo x="21600" y="-110"/>
                    <wp:lineTo x="-96" y="-110"/>
                  </wp:wrapPolygon>
                </wp:wrapTight>
                <wp:docPr id="2" name="Text Box 2"/>
                <wp:cNvGraphicFramePr/>
                <a:graphic xmlns:a="http://schemas.openxmlformats.org/drawingml/2006/main">
                  <a:graphicData uri="http://schemas.microsoft.com/office/word/2010/wordprocessingShape">
                    <wps:wsp>
                      <wps:cNvSpPr txBox="1"/>
                      <wps:spPr>
                        <a:xfrm>
                          <a:off x="0" y="0"/>
                          <a:ext cx="4267200" cy="3738880"/>
                        </a:xfrm>
                        <a:prstGeom prst="rect">
                          <a:avLst/>
                        </a:prstGeom>
                        <a:noFill/>
                        <a:ln w="38100">
                          <a:solidFill>
                            <a:schemeClr val="tx2">
                              <a:lumMod val="60000"/>
                              <a:lumOff val="40000"/>
                            </a:schemeClr>
                          </a:solidFill>
                        </a:ln>
                        <a:effectLst/>
                      </wps:spPr>
                      <wps:txbx>
                        <w:txbxContent>
                          <w:p w:rsidR="00AE419D" w:rsidRPr="009237EE" w:rsidRDefault="00AE419D" w:rsidP="0092102C">
                            <w:pPr>
                              <w:rPr>
                                <w:sz w:val="20"/>
                                <w:lang w:val="en"/>
                              </w:rPr>
                            </w:pPr>
                            <w:r w:rsidRPr="009237EE">
                              <w:rPr>
                                <w:sz w:val="20"/>
                                <w:lang w:val="en"/>
                              </w:rPr>
                              <w:t xml:space="preserve">The </w:t>
                            </w:r>
                            <w:hyperlink r:id="rId11" w:history="1">
                              <w:r w:rsidRPr="009237EE">
                                <w:rPr>
                                  <w:rStyle w:val="Hyperlink"/>
                                  <w:b/>
                                  <w:bCs/>
                                  <w:i/>
                                  <w:iCs/>
                                  <w:sz w:val="20"/>
                                  <w:lang w:val="en"/>
                                </w:rPr>
                                <w:t>Australian Human Rights Commission Act 1986</w:t>
                              </w:r>
                            </w:hyperlink>
                            <w:r w:rsidRPr="009237EE">
                              <w:rPr>
                                <w:sz w:val="20"/>
                                <w:lang w:val="en"/>
                              </w:rPr>
                              <w:t xml:space="preserve"> (formerly called the </w:t>
                            </w:r>
                            <w:r w:rsidRPr="009237EE">
                              <w:rPr>
                                <w:i/>
                                <w:iCs/>
                                <w:sz w:val="20"/>
                                <w:lang w:val="en"/>
                              </w:rPr>
                              <w:t xml:space="preserve">Human Rights and Equal Opportunity Commission Act 1986 </w:t>
                            </w:r>
                            <w:r w:rsidRPr="009237EE">
                              <w:rPr>
                                <w:sz w:val="20"/>
                                <w:lang w:val="en"/>
                              </w:rPr>
                              <w:t>), established the Human Rights and Equal Opportunity Commission (now known as the Australian Human Rights Commission) and gives it functions in relation to the following international instruments:</w:t>
                            </w:r>
                          </w:p>
                          <w:p w:rsidR="00AE419D" w:rsidRPr="009237EE" w:rsidRDefault="00AE419D" w:rsidP="009237EE">
                            <w:pPr>
                              <w:ind w:left="360"/>
                              <w:rPr>
                                <w:sz w:val="20"/>
                                <w:lang w:val="en"/>
                              </w:rPr>
                            </w:pPr>
                            <w:hyperlink r:id="rId12" w:history="1">
                              <w:r w:rsidRPr="009237EE">
                                <w:rPr>
                                  <w:rStyle w:val="Hyperlink"/>
                                  <w:sz w:val="20"/>
                                  <w:lang w:val="en"/>
                                </w:rPr>
                                <w:t>International Covenant on Civil and Political Rights</w:t>
                              </w:r>
                            </w:hyperlink>
                            <w:r w:rsidRPr="009237EE">
                              <w:rPr>
                                <w:sz w:val="20"/>
                                <w:lang w:val="en"/>
                              </w:rPr>
                              <w:t xml:space="preserve"> (ICCPR)</w:t>
                            </w:r>
                          </w:p>
                          <w:p w:rsidR="00AE419D" w:rsidRPr="009237EE" w:rsidRDefault="00AE419D" w:rsidP="009237EE">
                            <w:pPr>
                              <w:ind w:left="360"/>
                              <w:rPr>
                                <w:sz w:val="20"/>
                                <w:lang w:val="en"/>
                              </w:rPr>
                            </w:pPr>
                            <w:hyperlink r:id="rId13" w:history="1">
                              <w:r w:rsidRPr="009237EE">
                                <w:rPr>
                                  <w:rStyle w:val="Hyperlink"/>
                                  <w:sz w:val="20"/>
                                  <w:lang w:val="en"/>
                                </w:rPr>
                                <w:t>Convention Concerning Discrimination in Respect of Employment and Occupation</w:t>
                              </w:r>
                            </w:hyperlink>
                            <w:r w:rsidRPr="009237EE">
                              <w:rPr>
                                <w:sz w:val="20"/>
                                <w:lang w:val="en"/>
                              </w:rPr>
                              <w:t xml:space="preserve"> (ILO 111)</w:t>
                            </w:r>
                          </w:p>
                          <w:p w:rsidR="00AE419D" w:rsidRPr="009237EE" w:rsidRDefault="00AE419D" w:rsidP="009237EE">
                            <w:pPr>
                              <w:ind w:left="360"/>
                              <w:rPr>
                                <w:sz w:val="20"/>
                                <w:lang w:val="en"/>
                              </w:rPr>
                            </w:pPr>
                            <w:hyperlink r:id="rId14" w:history="1">
                              <w:r w:rsidRPr="009237EE">
                                <w:rPr>
                                  <w:rStyle w:val="Hyperlink"/>
                                  <w:sz w:val="20"/>
                                  <w:lang w:val="en"/>
                                </w:rPr>
                                <w:t xml:space="preserve">Convention on the Rights of Persons with Disabilities </w:t>
                              </w:r>
                            </w:hyperlink>
                          </w:p>
                          <w:p w:rsidR="00AE419D" w:rsidRPr="009237EE" w:rsidRDefault="00AE419D" w:rsidP="009237EE">
                            <w:pPr>
                              <w:ind w:left="360"/>
                              <w:rPr>
                                <w:sz w:val="20"/>
                                <w:lang w:val="en"/>
                              </w:rPr>
                            </w:pPr>
                            <w:hyperlink r:id="rId15" w:history="1">
                              <w:r w:rsidRPr="009237EE">
                                <w:rPr>
                                  <w:rStyle w:val="Hyperlink"/>
                                  <w:sz w:val="20"/>
                                  <w:lang w:val="en"/>
                                </w:rPr>
                                <w:t>Convention on the Rights of the Child</w:t>
                              </w:r>
                            </w:hyperlink>
                          </w:p>
                          <w:p w:rsidR="00AE419D" w:rsidRPr="009237EE" w:rsidRDefault="00AE419D" w:rsidP="009237EE">
                            <w:pPr>
                              <w:ind w:left="360"/>
                              <w:rPr>
                                <w:sz w:val="20"/>
                                <w:lang w:val="en"/>
                              </w:rPr>
                            </w:pPr>
                            <w:hyperlink r:id="rId16" w:history="1">
                              <w:r w:rsidRPr="009237EE">
                                <w:rPr>
                                  <w:rStyle w:val="Hyperlink"/>
                                  <w:sz w:val="20"/>
                                  <w:lang w:val="en"/>
                                </w:rPr>
                                <w:t>Declaration of the Rights of the Child</w:t>
                              </w:r>
                            </w:hyperlink>
                          </w:p>
                          <w:p w:rsidR="00AE419D" w:rsidRPr="009237EE" w:rsidRDefault="00AE419D" w:rsidP="009237EE">
                            <w:pPr>
                              <w:ind w:left="360"/>
                              <w:rPr>
                                <w:sz w:val="20"/>
                                <w:lang w:val="en"/>
                              </w:rPr>
                            </w:pPr>
                            <w:hyperlink r:id="rId17" w:history="1">
                              <w:r w:rsidRPr="009237EE">
                                <w:rPr>
                                  <w:rStyle w:val="Hyperlink"/>
                                  <w:sz w:val="20"/>
                                  <w:lang w:val="en"/>
                                </w:rPr>
                                <w:t>Declaration on the Rights of Disabled Persons</w:t>
                              </w:r>
                            </w:hyperlink>
                          </w:p>
                          <w:p w:rsidR="00AE419D" w:rsidRPr="009237EE" w:rsidRDefault="00AE419D" w:rsidP="009237EE">
                            <w:pPr>
                              <w:ind w:left="360"/>
                              <w:rPr>
                                <w:sz w:val="20"/>
                                <w:lang w:val="en"/>
                              </w:rPr>
                            </w:pPr>
                            <w:hyperlink r:id="rId18" w:history="1">
                              <w:r w:rsidRPr="009237EE">
                                <w:rPr>
                                  <w:rStyle w:val="Hyperlink"/>
                                  <w:sz w:val="20"/>
                                  <w:lang w:val="en"/>
                                </w:rPr>
                                <w:t>Declaration on the Rights of Mentally Retarded Persons</w:t>
                              </w:r>
                            </w:hyperlink>
                            <w:r w:rsidRPr="009237EE">
                              <w:rPr>
                                <w:sz w:val="20"/>
                                <w:lang w:val="en"/>
                              </w:rPr>
                              <w:t>, and</w:t>
                            </w:r>
                          </w:p>
                          <w:p w:rsidR="00AE419D" w:rsidRPr="009237EE" w:rsidRDefault="00AE419D" w:rsidP="009237EE">
                            <w:pPr>
                              <w:ind w:left="360"/>
                              <w:rPr>
                                <w:sz w:val="20"/>
                                <w:lang w:val="en"/>
                              </w:rPr>
                            </w:pPr>
                            <w:hyperlink r:id="rId19" w:history="1">
                              <w:proofErr w:type="gramStart"/>
                              <w:r w:rsidRPr="009237EE">
                                <w:rPr>
                                  <w:rStyle w:val="Hyperlink"/>
                                  <w:sz w:val="20"/>
                                  <w:lang w:val="en"/>
                                </w:rPr>
                                <w:t>Declaration on the Elimination of All Forms of Intolerance and of Discrimination Based on Religion or Belief</w:t>
                              </w:r>
                            </w:hyperlink>
                            <w:r w:rsidRPr="009237EE">
                              <w:rPr>
                                <w:sz w:val="20"/>
                                <w:lang w:val="en"/>
                              </w:rPr>
                              <w:t>.</w:t>
                            </w:r>
                            <w:proofErr w:type="gramEnd"/>
                          </w:p>
                          <w:p w:rsidR="00AE419D" w:rsidRPr="009237EE" w:rsidRDefault="00AE419D" w:rsidP="001B17EA">
                            <w:pPr>
                              <w:rPr>
                                <w:sz w:val="20"/>
                                <w:lang w:val="en"/>
                              </w:rPr>
                            </w:pPr>
                            <w:r w:rsidRPr="009237EE">
                              <w:rPr>
                                <w:sz w:val="20"/>
                                <w:lang w:val="en"/>
                              </w:rPr>
                              <w:t xml:space="preserve">In addition, the Aboriginal and Torres Strait Islander Social Justice Commissioner has specific functions under the </w:t>
                            </w:r>
                            <w:r w:rsidRPr="009237EE">
                              <w:rPr>
                                <w:i/>
                                <w:iCs/>
                                <w:sz w:val="20"/>
                                <w:lang w:val="en"/>
                              </w:rPr>
                              <w:t>AHRC Act</w:t>
                            </w:r>
                            <w:r w:rsidRPr="009237EE">
                              <w:rPr>
                                <w:sz w:val="20"/>
                                <w:lang w:val="en"/>
                              </w:rPr>
                              <w:t xml:space="preserve"> and the </w:t>
                            </w:r>
                            <w:r w:rsidRPr="009237EE">
                              <w:rPr>
                                <w:i/>
                                <w:iCs/>
                                <w:sz w:val="20"/>
                                <w:lang w:val="en"/>
                              </w:rPr>
                              <w:t>Native Title Act</w:t>
                            </w:r>
                            <w:proofErr w:type="gramStart"/>
                            <w:r w:rsidRPr="009237EE">
                              <w:rPr>
                                <w:i/>
                                <w:iCs/>
                                <w:sz w:val="20"/>
                                <w:lang w:val="en"/>
                              </w:rPr>
                              <w:t>,1993</w:t>
                            </w:r>
                            <w:proofErr w:type="gramEnd"/>
                            <w:r w:rsidRPr="009237EE">
                              <w:rPr>
                                <w:sz w:val="20"/>
                                <w:lang w:val="en"/>
                              </w:rPr>
                              <w:t xml:space="preserve"> to monitor the human rights of Indigenous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6.1pt;margin-top:2.1pt;width:336pt;height:29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" filled="f" strokecolor="#7096d2 [1951]" strokeweight="3pt">
                <v:fill o:detectmouseclick="t"/>
                <v:textbox>
                  <w:txbxContent>
                    <w:p w:rsidR="00AE419D" w:rsidRPr="009237EE" w:rsidRDefault="00AE419D" w:rsidP="0092102C">
                      <w:pPr>
                        <w:rPr>
                          <w:sz w:val="20"/>
                          <w:lang w:val="en"/>
                        </w:rPr>
                      </w:pPr>
                      <w:r w:rsidRPr="009237EE">
                        <w:rPr>
                          <w:sz w:val="20"/>
                          <w:lang w:val="en"/>
                        </w:rPr>
                        <w:t xml:space="preserve">The </w:t>
                      </w:r>
                      <w:hyperlink r:id="rId20" w:history="1">
                        <w:r w:rsidRPr="009237EE">
                          <w:rPr>
                            <w:rStyle w:val="Hyperlink"/>
                            <w:b/>
                            <w:bCs/>
                            <w:i/>
                            <w:iCs/>
                            <w:sz w:val="20"/>
                            <w:lang w:val="en"/>
                          </w:rPr>
                          <w:t>Australian Human Rights Commission Act 1986</w:t>
                        </w:r>
                      </w:hyperlink>
                      <w:r w:rsidRPr="009237EE">
                        <w:rPr>
                          <w:sz w:val="20"/>
                          <w:lang w:val="en"/>
                        </w:rPr>
                        <w:t xml:space="preserve"> (formerly called the </w:t>
                      </w:r>
                      <w:r w:rsidRPr="009237EE">
                        <w:rPr>
                          <w:i/>
                          <w:iCs/>
                          <w:sz w:val="20"/>
                          <w:lang w:val="en"/>
                        </w:rPr>
                        <w:t xml:space="preserve">Human Rights and Equal Opportunity Commission Act 1986 </w:t>
                      </w:r>
                      <w:r w:rsidRPr="009237EE">
                        <w:rPr>
                          <w:sz w:val="20"/>
                          <w:lang w:val="en"/>
                        </w:rPr>
                        <w:t>), established the Human Rights and Equal Opportunity Commission (now known as the Australian Human Rights Commission) and gives it functions in relation to the following international instruments:</w:t>
                      </w:r>
                    </w:p>
                    <w:p w:rsidR="00AE419D" w:rsidRPr="009237EE" w:rsidRDefault="00AE419D" w:rsidP="009237EE">
                      <w:pPr>
                        <w:ind w:left="360"/>
                        <w:rPr>
                          <w:sz w:val="20"/>
                          <w:lang w:val="en"/>
                        </w:rPr>
                      </w:pPr>
                      <w:hyperlink r:id="rId21" w:history="1">
                        <w:r w:rsidRPr="009237EE">
                          <w:rPr>
                            <w:rStyle w:val="Hyperlink"/>
                            <w:sz w:val="20"/>
                            <w:lang w:val="en"/>
                          </w:rPr>
                          <w:t>International Covenant on Civil and Political Rights</w:t>
                        </w:r>
                      </w:hyperlink>
                      <w:r w:rsidRPr="009237EE">
                        <w:rPr>
                          <w:sz w:val="20"/>
                          <w:lang w:val="en"/>
                        </w:rPr>
                        <w:t xml:space="preserve"> (ICCPR)</w:t>
                      </w:r>
                    </w:p>
                    <w:p w:rsidR="00AE419D" w:rsidRPr="009237EE" w:rsidRDefault="00AE419D" w:rsidP="009237EE">
                      <w:pPr>
                        <w:ind w:left="360"/>
                        <w:rPr>
                          <w:sz w:val="20"/>
                          <w:lang w:val="en"/>
                        </w:rPr>
                      </w:pPr>
                      <w:hyperlink r:id="rId22" w:history="1">
                        <w:r w:rsidRPr="009237EE">
                          <w:rPr>
                            <w:rStyle w:val="Hyperlink"/>
                            <w:sz w:val="20"/>
                            <w:lang w:val="en"/>
                          </w:rPr>
                          <w:t>Convention Concerning Discrimination in Respect of Employment and Occupation</w:t>
                        </w:r>
                      </w:hyperlink>
                      <w:r w:rsidRPr="009237EE">
                        <w:rPr>
                          <w:sz w:val="20"/>
                          <w:lang w:val="en"/>
                        </w:rPr>
                        <w:t xml:space="preserve"> (ILO 111)</w:t>
                      </w:r>
                    </w:p>
                    <w:p w:rsidR="00AE419D" w:rsidRPr="009237EE" w:rsidRDefault="00AE419D" w:rsidP="009237EE">
                      <w:pPr>
                        <w:ind w:left="360"/>
                        <w:rPr>
                          <w:sz w:val="20"/>
                          <w:lang w:val="en"/>
                        </w:rPr>
                      </w:pPr>
                      <w:hyperlink r:id="rId23" w:history="1">
                        <w:r w:rsidRPr="009237EE">
                          <w:rPr>
                            <w:rStyle w:val="Hyperlink"/>
                            <w:sz w:val="20"/>
                            <w:lang w:val="en"/>
                          </w:rPr>
                          <w:t xml:space="preserve">Convention on the Rights of Persons with Disabilities </w:t>
                        </w:r>
                      </w:hyperlink>
                    </w:p>
                    <w:p w:rsidR="00AE419D" w:rsidRPr="009237EE" w:rsidRDefault="00AE419D" w:rsidP="009237EE">
                      <w:pPr>
                        <w:ind w:left="360"/>
                        <w:rPr>
                          <w:sz w:val="20"/>
                          <w:lang w:val="en"/>
                        </w:rPr>
                      </w:pPr>
                      <w:hyperlink r:id="rId24" w:history="1">
                        <w:r w:rsidRPr="009237EE">
                          <w:rPr>
                            <w:rStyle w:val="Hyperlink"/>
                            <w:sz w:val="20"/>
                            <w:lang w:val="en"/>
                          </w:rPr>
                          <w:t>Convention on the Rights of the Child</w:t>
                        </w:r>
                      </w:hyperlink>
                    </w:p>
                    <w:p w:rsidR="00AE419D" w:rsidRPr="009237EE" w:rsidRDefault="00AE419D" w:rsidP="009237EE">
                      <w:pPr>
                        <w:ind w:left="360"/>
                        <w:rPr>
                          <w:sz w:val="20"/>
                          <w:lang w:val="en"/>
                        </w:rPr>
                      </w:pPr>
                      <w:hyperlink r:id="rId25" w:history="1">
                        <w:r w:rsidRPr="009237EE">
                          <w:rPr>
                            <w:rStyle w:val="Hyperlink"/>
                            <w:sz w:val="20"/>
                            <w:lang w:val="en"/>
                          </w:rPr>
                          <w:t>Declaration of the Rights of the Child</w:t>
                        </w:r>
                      </w:hyperlink>
                    </w:p>
                    <w:p w:rsidR="00AE419D" w:rsidRPr="009237EE" w:rsidRDefault="00AE419D" w:rsidP="009237EE">
                      <w:pPr>
                        <w:ind w:left="360"/>
                        <w:rPr>
                          <w:sz w:val="20"/>
                          <w:lang w:val="en"/>
                        </w:rPr>
                      </w:pPr>
                      <w:hyperlink r:id="rId26" w:history="1">
                        <w:r w:rsidRPr="009237EE">
                          <w:rPr>
                            <w:rStyle w:val="Hyperlink"/>
                            <w:sz w:val="20"/>
                            <w:lang w:val="en"/>
                          </w:rPr>
                          <w:t>Declaration on the Rights of Disabled Persons</w:t>
                        </w:r>
                      </w:hyperlink>
                    </w:p>
                    <w:p w:rsidR="00AE419D" w:rsidRPr="009237EE" w:rsidRDefault="00AE419D" w:rsidP="009237EE">
                      <w:pPr>
                        <w:ind w:left="360"/>
                        <w:rPr>
                          <w:sz w:val="20"/>
                          <w:lang w:val="en"/>
                        </w:rPr>
                      </w:pPr>
                      <w:hyperlink r:id="rId27" w:history="1">
                        <w:r w:rsidRPr="009237EE">
                          <w:rPr>
                            <w:rStyle w:val="Hyperlink"/>
                            <w:sz w:val="20"/>
                            <w:lang w:val="en"/>
                          </w:rPr>
                          <w:t>Declaration on the Rights of Mentally Retarded Persons</w:t>
                        </w:r>
                      </w:hyperlink>
                      <w:r w:rsidRPr="009237EE">
                        <w:rPr>
                          <w:sz w:val="20"/>
                          <w:lang w:val="en"/>
                        </w:rPr>
                        <w:t>, and</w:t>
                      </w:r>
                    </w:p>
                    <w:p w:rsidR="00AE419D" w:rsidRPr="009237EE" w:rsidRDefault="00AE419D" w:rsidP="009237EE">
                      <w:pPr>
                        <w:ind w:left="360"/>
                        <w:rPr>
                          <w:sz w:val="20"/>
                          <w:lang w:val="en"/>
                        </w:rPr>
                      </w:pPr>
                      <w:hyperlink r:id="rId28" w:history="1">
                        <w:proofErr w:type="gramStart"/>
                        <w:r w:rsidRPr="009237EE">
                          <w:rPr>
                            <w:rStyle w:val="Hyperlink"/>
                            <w:sz w:val="20"/>
                            <w:lang w:val="en"/>
                          </w:rPr>
                          <w:t>Declaration on the Elimination of All Forms of Intolerance and of Discrimination Based on Religion or Belief</w:t>
                        </w:r>
                      </w:hyperlink>
                      <w:r w:rsidRPr="009237EE">
                        <w:rPr>
                          <w:sz w:val="20"/>
                          <w:lang w:val="en"/>
                        </w:rPr>
                        <w:t>.</w:t>
                      </w:r>
                      <w:proofErr w:type="gramEnd"/>
                    </w:p>
                    <w:p w:rsidR="00AE419D" w:rsidRPr="009237EE" w:rsidRDefault="00AE419D" w:rsidP="001B17EA">
                      <w:pPr>
                        <w:rPr>
                          <w:sz w:val="20"/>
                          <w:lang w:val="en"/>
                        </w:rPr>
                      </w:pPr>
                      <w:r w:rsidRPr="009237EE">
                        <w:rPr>
                          <w:sz w:val="20"/>
                          <w:lang w:val="en"/>
                        </w:rPr>
                        <w:t xml:space="preserve">In addition, the Aboriginal and Torres Strait Islander Social Justice Commissioner has specific functions under the </w:t>
                      </w:r>
                      <w:r w:rsidRPr="009237EE">
                        <w:rPr>
                          <w:i/>
                          <w:iCs/>
                          <w:sz w:val="20"/>
                          <w:lang w:val="en"/>
                        </w:rPr>
                        <w:t>AHRC Act</w:t>
                      </w:r>
                      <w:r w:rsidRPr="009237EE">
                        <w:rPr>
                          <w:sz w:val="20"/>
                          <w:lang w:val="en"/>
                        </w:rPr>
                        <w:t xml:space="preserve"> and the </w:t>
                      </w:r>
                      <w:r w:rsidRPr="009237EE">
                        <w:rPr>
                          <w:i/>
                          <w:iCs/>
                          <w:sz w:val="20"/>
                          <w:lang w:val="en"/>
                        </w:rPr>
                        <w:t>Native Title Act</w:t>
                      </w:r>
                      <w:proofErr w:type="gramStart"/>
                      <w:r w:rsidRPr="009237EE">
                        <w:rPr>
                          <w:i/>
                          <w:iCs/>
                          <w:sz w:val="20"/>
                          <w:lang w:val="en"/>
                        </w:rPr>
                        <w:t>,1993</w:t>
                      </w:r>
                      <w:proofErr w:type="gramEnd"/>
                      <w:r w:rsidRPr="009237EE">
                        <w:rPr>
                          <w:sz w:val="20"/>
                          <w:lang w:val="en"/>
                        </w:rPr>
                        <w:t xml:space="preserve"> to monitor the human rights of Indigenous people.</w:t>
                      </w:r>
                    </w:p>
                  </w:txbxContent>
                </v:textbox>
                <w10:wrap type="tight"/>
              </v:shape>
            </w:pict>
          </mc:Fallback>
        </mc:AlternateContent>
      </w:r>
      <w:r w:rsidR="00AE419D" w:rsidRPr="00AE419D">
        <w:rPr>
          <w:lang w:val="en"/>
        </w:rPr>
        <w:t>developing human rights </w:t>
      </w:r>
      <w:hyperlink r:id="rId29" w:history="1">
        <w:r w:rsidR="00AE419D" w:rsidRPr="00AE419D">
          <w:rPr>
            <w:rStyle w:val="Hyperlink"/>
            <w:color w:val="auto"/>
            <w:lang w:val="en"/>
          </w:rPr>
          <w:t>education programs and resources</w:t>
        </w:r>
      </w:hyperlink>
      <w:r w:rsidR="00AE419D" w:rsidRPr="00AE419D">
        <w:rPr>
          <w:lang w:val="en"/>
        </w:rPr>
        <w:t> for schools, workplaces and the community</w:t>
      </w:r>
    </w:p>
    <w:p w:rsidR="00AE419D" w:rsidRPr="00AE419D" w:rsidRDefault="00AE419D" w:rsidP="00AE419D">
      <w:pPr>
        <w:numPr>
          <w:ilvl w:val="0"/>
          <w:numId w:val="10"/>
        </w:numPr>
        <w:rPr>
          <w:lang w:val="en"/>
        </w:rPr>
      </w:pPr>
      <w:r w:rsidRPr="00AE419D">
        <w:rPr>
          <w:lang w:val="en"/>
        </w:rPr>
        <w:t>providing independent </w:t>
      </w:r>
      <w:hyperlink r:id="rId30" w:history="1">
        <w:r w:rsidRPr="00AE419D">
          <w:rPr>
            <w:rStyle w:val="Hyperlink"/>
            <w:color w:val="auto"/>
            <w:lang w:val="en"/>
          </w:rPr>
          <w:t>legal advice</w:t>
        </w:r>
      </w:hyperlink>
      <w:r w:rsidRPr="00AE419D">
        <w:rPr>
          <w:lang w:val="en"/>
        </w:rPr>
        <w:t> to assist courts in cases that involve human rights principles</w:t>
      </w:r>
    </w:p>
    <w:p w:rsidR="00AE419D" w:rsidRPr="00AE419D" w:rsidRDefault="00AE419D" w:rsidP="00AE419D">
      <w:pPr>
        <w:numPr>
          <w:ilvl w:val="0"/>
          <w:numId w:val="10"/>
        </w:numPr>
        <w:rPr>
          <w:lang w:val="en"/>
        </w:rPr>
      </w:pPr>
      <w:r w:rsidRPr="00AE419D">
        <w:rPr>
          <w:lang w:val="en"/>
        </w:rPr>
        <w:t>providing advice and </w:t>
      </w:r>
      <w:hyperlink r:id="rId31" w:history="1">
        <w:r w:rsidRPr="00AE419D">
          <w:rPr>
            <w:rStyle w:val="Hyperlink"/>
            <w:color w:val="auto"/>
            <w:lang w:val="en"/>
          </w:rPr>
          <w:t>submissions</w:t>
        </w:r>
      </w:hyperlink>
      <w:r w:rsidRPr="00AE419D">
        <w:rPr>
          <w:lang w:val="en"/>
        </w:rPr>
        <w:t> to parliaments and governments to develop laws, policies and programs</w:t>
      </w:r>
    </w:p>
    <w:p w:rsidR="00AE419D" w:rsidRPr="00AE419D" w:rsidRDefault="00AE419D" w:rsidP="00AE419D">
      <w:pPr>
        <w:numPr>
          <w:ilvl w:val="0"/>
          <w:numId w:val="10"/>
        </w:numPr>
        <w:rPr>
          <w:lang w:val="en"/>
        </w:rPr>
      </w:pPr>
      <w:proofErr w:type="gramStart"/>
      <w:r w:rsidRPr="00AE419D">
        <w:rPr>
          <w:lang w:val="en"/>
        </w:rPr>
        <w:t>undertaking</w:t>
      </w:r>
      <w:proofErr w:type="gramEnd"/>
      <w:r w:rsidRPr="00AE419D">
        <w:rPr>
          <w:lang w:val="en"/>
        </w:rPr>
        <w:t xml:space="preserve"> and coordinating research into human rights and discrimination issues.</w:t>
      </w:r>
    </w:p>
    <w:p w:rsidR="00AE419D" w:rsidRPr="00AE419D" w:rsidRDefault="00AE419D" w:rsidP="00AE419D">
      <w:pPr>
        <w:rPr>
          <w:lang w:val="en"/>
        </w:rPr>
      </w:pPr>
      <w:r w:rsidRPr="00AE419D">
        <w:rPr>
          <w:lang w:val="en"/>
        </w:rPr>
        <w:t>The Commission works closely with other national human rights institutions, particularly through the </w:t>
      </w:r>
      <w:hyperlink r:id="rId32" w:history="1">
        <w:r w:rsidRPr="00AE419D">
          <w:rPr>
            <w:rStyle w:val="Hyperlink"/>
            <w:color w:val="auto"/>
            <w:lang w:val="en"/>
          </w:rPr>
          <w:t>Asia Pacific Forum of National Human Rights Institutions</w:t>
        </w:r>
      </w:hyperlink>
      <w:r w:rsidRPr="00AE419D">
        <w:rPr>
          <w:lang w:val="en"/>
        </w:rPr>
        <w:t>, to address major human rights issues in the region.</w:t>
      </w:r>
    </w:p>
    <w:p w:rsidR="0092102C" w:rsidRDefault="0092102C">
      <w:pPr>
        <w:rPr>
          <w:color w:val="7096D2" w:themeColor="text2" w:themeTint="99"/>
        </w:rPr>
      </w:pPr>
    </w:p>
    <w:p w:rsidR="00AE419D" w:rsidRDefault="00AE419D">
      <w:pPr>
        <w:rPr>
          <w:color w:val="7096D2" w:themeColor="text2" w:themeTint="99"/>
        </w:rPr>
      </w:pPr>
    </w:p>
    <w:p w:rsidR="00AE419D" w:rsidRDefault="00AE419D">
      <w:pPr>
        <w:rPr>
          <w:color w:val="7096D2" w:themeColor="text2" w:themeTint="99"/>
        </w:rPr>
      </w:pPr>
    </w:p>
    <w:p w:rsidR="009237EE" w:rsidRPr="009237EE" w:rsidRDefault="009237EE" w:rsidP="00AE419D">
      <w:pPr>
        <w:rPr>
          <w:color w:val="7096D2" w:themeColor="text2" w:themeTint="99"/>
        </w:rPr>
      </w:pPr>
      <w:r>
        <w:rPr>
          <w:b/>
          <w:color w:val="7096D2" w:themeColor="text2" w:themeTint="99"/>
        </w:rPr>
        <w:t xml:space="preserve">Questions &amp; Activities: </w:t>
      </w:r>
      <w:r>
        <w:rPr>
          <w:color w:val="7096D2" w:themeColor="text2" w:themeTint="99"/>
        </w:rPr>
        <w:t>using the information &amp; websites provided, complete the following</w:t>
      </w:r>
    </w:p>
    <w:p w:rsidR="00AE419D" w:rsidRDefault="00AE419D" w:rsidP="009237EE">
      <w:pPr>
        <w:pStyle w:val="ListParagraph"/>
        <w:numPr>
          <w:ilvl w:val="0"/>
          <w:numId w:val="11"/>
        </w:numPr>
      </w:pPr>
      <w:r>
        <w:t>What is equal opportunity?</w:t>
      </w:r>
    </w:p>
    <w:p w:rsidR="00AE419D" w:rsidRPr="009237EE" w:rsidRDefault="00AE419D" w:rsidP="009237EE">
      <w:pPr>
        <w:pStyle w:val="ListParagraph"/>
        <w:numPr>
          <w:ilvl w:val="0"/>
          <w:numId w:val="11"/>
        </w:numPr>
      </w:pPr>
      <w:r>
        <w:t>How is State equal opportunity legislation affected by Federal equal opportunity legislation?</w:t>
      </w:r>
    </w:p>
    <w:p w:rsidR="0092102C" w:rsidRDefault="0025306B" w:rsidP="009237EE">
      <w:pPr>
        <w:pStyle w:val="ListParagraph"/>
        <w:numPr>
          <w:ilvl w:val="0"/>
          <w:numId w:val="11"/>
        </w:numPr>
      </w:pPr>
      <w:r w:rsidRPr="009237EE">
        <w:rPr>
          <w:color w:val="7096D2" w:themeColor="text2" w:themeTint="99"/>
        </w:rPr>
        <w:t xml:space="preserve">Extended response question: </w:t>
      </w:r>
      <w:r w:rsidR="00526FD7">
        <w:t>Explain how</w:t>
      </w:r>
      <w:r w:rsidR="00102F75">
        <w:t xml:space="preserve"> an awareness of equal opportunity legislation improve</w:t>
      </w:r>
      <w:r w:rsidR="00526FD7">
        <w:t>s</w:t>
      </w:r>
      <w:r w:rsidR="00102F75">
        <w:t xml:space="preserve"> the effectiveness of working in a diverse workplace (for both employers &amp; employees)?</w:t>
      </w:r>
      <w:bookmarkStart w:id="0" w:name="_GoBack"/>
      <w:bookmarkEnd w:id="0"/>
    </w:p>
    <w:p w:rsidR="009F4C79" w:rsidRPr="009237EE" w:rsidRDefault="009F4C79" w:rsidP="009237EE">
      <w:pPr>
        <w:pStyle w:val="ListParagraph"/>
        <w:numPr>
          <w:ilvl w:val="0"/>
          <w:numId w:val="11"/>
        </w:numPr>
        <w:rPr>
          <w:color w:val="7096D2" w:themeColor="text2" w:themeTint="99"/>
        </w:rPr>
      </w:pPr>
      <w:r w:rsidRPr="009237EE">
        <w:rPr>
          <w:color w:val="7096D2" w:themeColor="text2" w:themeTint="99"/>
        </w:rPr>
        <w:t xml:space="preserve">Complete the retrieval chart </w:t>
      </w:r>
    </w:p>
    <w:tbl>
      <w:tblPr>
        <w:tblStyle w:val="TableGrid"/>
        <w:tblW w:w="0" w:type="auto"/>
        <w:tblLook w:val="04A0" w:firstRow="1" w:lastRow="0" w:firstColumn="1" w:lastColumn="0" w:noHBand="0" w:noVBand="1"/>
      </w:tblPr>
      <w:tblGrid>
        <w:gridCol w:w="3168"/>
        <w:gridCol w:w="3759"/>
        <w:gridCol w:w="3755"/>
      </w:tblGrid>
      <w:tr w:rsidR="009F4C79" w:rsidTr="009F4C79">
        <w:tc>
          <w:tcPr>
            <w:tcW w:w="3168" w:type="dxa"/>
          </w:tcPr>
          <w:p w:rsidR="009F4C79" w:rsidRDefault="009F4C79" w:rsidP="009F4C79"/>
        </w:tc>
        <w:tc>
          <w:tcPr>
            <w:tcW w:w="3759" w:type="dxa"/>
          </w:tcPr>
          <w:p w:rsidR="009F4C79" w:rsidRDefault="009F4C79" w:rsidP="009F4C79">
            <w:r>
              <w:t>State – Equal Opportunity Commission Western Australia</w:t>
            </w:r>
            <w:r w:rsidR="0092102C" w:rsidRPr="0092102C">
              <w:t xml:space="preserve"> </w:t>
            </w:r>
            <w:hyperlink r:id="rId33" w:history="1">
              <w:r w:rsidR="0092102C" w:rsidRPr="00A934DD">
                <w:rPr>
                  <w:rStyle w:val="Hyperlink"/>
                </w:rPr>
                <w:t>www.eoc.wa.gov.au</w:t>
              </w:r>
            </w:hyperlink>
            <w:r w:rsidR="0092102C">
              <w:t xml:space="preserve"> </w:t>
            </w:r>
          </w:p>
        </w:tc>
        <w:tc>
          <w:tcPr>
            <w:tcW w:w="3755" w:type="dxa"/>
          </w:tcPr>
          <w:p w:rsidR="009F4C79" w:rsidRDefault="009F4C79">
            <w:r>
              <w:t>Federal – Australian Human Rights Commission</w:t>
            </w:r>
          </w:p>
          <w:p w:rsidR="0092102C" w:rsidRDefault="0092102C">
            <w:hyperlink r:id="rId34" w:history="1">
              <w:r w:rsidRPr="00A934DD">
                <w:rPr>
                  <w:rStyle w:val="Hyperlink"/>
                </w:rPr>
                <w:t>www.humanrights.gov.au</w:t>
              </w:r>
            </w:hyperlink>
            <w:r>
              <w:t xml:space="preserve"> </w:t>
            </w:r>
          </w:p>
        </w:tc>
      </w:tr>
      <w:tr w:rsidR="009F4C79" w:rsidTr="009F4C79">
        <w:tc>
          <w:tcPr>
            <w:tcW w:w="3168" w:type="dxa"/>
          </w:tcPr>
          <w:p w:rsidR="009F4C79" w:rsidRDefault="009F4C79" w:rsidP="009F4C79">
            <w:r>
              <w:t>When it was created</w:t>
            </w:r>
          </w:p>
        </w:tc>
        <w:tc>
          <w:tcPr>
            <w:tcW w:w="3759" w:type="dxa"/>
          </w:tcPr>
          <w:p w:rsidR="009F4C79" w:rsidRDefault="009F4C79" w:rsidP="009F4C79"/>
        </w:tc>
        <w:tc>
          <w:tcPr>
            <w:tcW w:w="3755" w:type="dxa"/>
          </w:tcPr>
          <w:p w:rsidR="009F4C79" w:rsidRDefault="009F4C79"/>
        </w:tc>
      </w:tr>
      <w:tr w:rsidR="009F4C79" w:rsidTr="009F4C79">
        <w:tc>
          <w:tcPr>
            <w:tcW w:w="3168" w:type="dxa"/>
          </w:tcPr>
          <w:p w:rsidR="009F4C79" w:rsidRDefault="009F4C79" w:rsidP="009F4C79">
            <w:r>
              <w:t>Aims/objectives</w:t>
            </w:r>
          </w:p>
        </w:tc>
        <w:tc>
          <w:tcPr>
            <w:tcW w:w="3759" w:type="dxa"/>
          </w:tcPr>
          <w:p w:rsidR="009F4C79" w:rsidRDefault="009F4C79" w:rsidP="009F4C79"/>
        </w:tc>
        <w:tc>
          <w:tcPr>
            <w:tcW w:w="3755" w:type="dxa"/>
          </w:tcPr>
          <w:p w:rsidR="009F4C79" w:rsidRDefault="009F4C79"/>
        </w:tc>
      </w:tr>
      <w:tr w:rsidR="009F4C79" w:rsidTr="009F4C79">
        <w:tc>
          <w:tcPr>
            <w:tcW w:w="3168" w:type="dxa"/>
          </w:tcPr>
          <w:p w:rsidR="009F4C79" w:rsidRDefault="009F4C79" w:rsidP="009F4C79">
            <w:r>
              <w:t>Processes involved in accessing</w:t>
            </w:r>
          </w:p>
        </w:tc>
        <w:tc>
          <w:tcPr>
            <w:tcW w:w="3759" w:type="dxa"/>
          </w:tcPr>
          <w:p w:rsidR="009F4C79" w:rsidRDefault="009F4C79" w:rsidP="009F4C79"/>
        </w:tc>
        <w:tc>
          <w:tcPr>
            <w:tcW w:w="3755" w:type="dxa"/>
          </w:tcPr>
          <w:p w:rsidR="009F4C79" w:rsidRDefault="009F4C79"/>
        </w:tc>
      </w:tr>
      <w:tr w:rsidR="009F4C79" w:rsidTr="009F4C79">
        <w:tc>
          <w:tcPr>
            <w:tcW w:w="3168" w:type="dxa"/>
          </w:tcPr>
          <w:p w:rsidR="009F4C79" w:rsidRDefault="009F4C79" w:rsidP="009F4C79">
            <w:r>
              <w:t xml:space="preserve">Example of when it has been used successfully – </w:t>
            </w:r>
            <w:proofErr w:type="spellStart"/>
            <w:r>
              <w:t>eg</w:t>
            </w:r>
            <w:proofErr w:type="spellEnd"/>
            <w:r>
              <w:t>. Court case</w:t>
            </w:r>
          </w:p>
        </w:tc>
        <w:tc>
          <w:tcPr>
            <w:tcW w:w="3759" w:type="dxa"/>
          </w:tcPr>
          <w:p w:rsidR="009F4C79" w:rsidRDefault="009F4C79" w:rsidP="009F4C79"/>
        </w:tc>
        <w:tc>
          <w:tcPr>
            <w:tcW w:w="3755" w:type="dxa"/>
          </w:tcPr>
          <w:p w:rsidR="009F4C79" w:rsidRDefault="009F4C79"/>
        </w:tc>
      </w:tr>
    </w:tbl>
    <w:p w:rsidR="001E2076" w:rsidRDefault="001E2076" w:rsidP="001E2076"/>
    <w:p w:rsidR="001E2076" w:rsidRDefault="001E2076" w:rsidP="009237EE">
      <w:pPr>
        <w:pStyle w:val="ListParagraph"/>
        <w:numPr>
          <w:ilvl w:val="0"/>
          <w:numId w:val="11"/>
        </w:numPr>
      </w:pPr>
      <w:r w:rsidRPr="009237EE">
        <w:rPr>
          <w:color w:val="7096D2" w:themeColor="text2" w:themeTint="99"/>
        </w:rPr>
        <w:t xml:space="preserve">Extended response question: </w:t>
      </w:r>
      <w:r>
        <w:t>Compare the similarities &amp; differences between the State organisation &amp; the Federal organisation for equal opportunity?</w:t>
      </w:r>
    </w:p>
    <w:p w:rsidR="0092102C" w:rsidRDefault="0092102C" w:rsidP="001E2076"/>
    <w:p w:rsidR="0092102C" w:rsidRDefault="0092102C" w:rsidP="001E2076"/>
    <w:p w:rsidR="009F4C79" w:rsidRDefault="009F4C79"/>
    <w:p w:rsidR="0092102C" w:rsidRDefault="0092102C"/>
    <w:sectPr w:rsidR="0092102C" w:rsidSect="008238E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5AB0"/>
    <w:multiLevelType w:val="multilevel"/>
    <w:tmpl w:val="D106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A5181"/>
    <w:multiLevelType w:val="multilevel"/>
    <w:tmpl w:val="F06C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77F38"/>
    <w:multiLevelType w:val="multilevel"/>
    <w:tmpl w:val="982A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20FA0"/>
    <w:multiLevelType w:val="multilevel"/>
    <w:tmpl w:val="5C9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41CDF"/>
    <w:multiLevelType w:val="hybridMultilevel"/>
    <w:tmpl w:val="AB58C588"/>
    <w:lvl w:ilvl="0" w:tplc="CE7CFAD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4E745F"/>
    <w:multiLevelType w:val="multilevel"/>
    <w:tmpl w:val="753A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E3C44"/>
    <w:multiLevelType w:val="multilevel"/>
    <w:tmpl w:val="857C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4160B"/>
    <w:multiLevelType w:val="multilevel"/>
    <w:tmpl w:val="A1CE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281B53"/>
    <w:multiLevelType w:val="multilevel"/>
    <w:tmpl w:val="DA3A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B900A7"/>
    <w:multiLevelType w:val="multilevel"/>
    <w:tmpl w:val="5F00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667AA6"/>
    <w:multiLevelType w:val="hybridMultilevel"/>
    <w:tmpl w:val="799235DE"/>
    <w:lvl w:ilvl="0" w:tplc="CE7CFAD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227F0F"/>
    <w:multiLevelType w:val="multilevel"/>
    <w:tmpl w:val="5F06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11"/>
  </w:num>
  <w:num w:numId="6">
    <w:abstractNumId w:val="8"/>
  </w:num>
  <w:num w:numId="7">
    <w:abstractNumId w:val="9"/>
  </w:num>
  <w:num w:numId="8">
    <w:abstractNumId w:val="0"/>
  </w:num>
  <w:num w:numId="9">
    <w:abstractNumId w:val="3"/>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75"/>
    <w:rsid w:val="000A3D83"/>
    <w:rsid w:val="00102F75"/>
    <w:rsid w:val="001D08B0"/>
    <w:rsid w:val="001E2076"/>
    <w:rsid w:val="0020390B"/>
    <w:rsid w:val="0025306B"/>
    <w:rsid w:val="003516FB"/>
    <w:rsid w:val="00526FD7"/>
    <w:rsid w:val="008238E6"/>
    <w:rsid w:val="0092102C"/>
    <w:rsid w:val="009237EE"/>
    <w:rsid w:val="009F4C79"/>
    <w:rsid w:val="00AE419D"/>
    <w:rsid w:val="00C011EE"/>
    <w:rsid w:val="00DE1A2B"/>
    <w:rsid w:val="00F34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02C"/>
    <w:rPr>
      <w:color w:val="3399FF" w:themeColor="hyperlink"/>
      <w:u w:val="single"/>
    </w:rPr>
  </w:style>
  <w:style w:type="paragraph" w:styleId="ListParagraph">
    <w:name w:val="List Paragraph"/>
    <w:basedOn w:val="Normal"/>
    <w:uiPriority w:val="34"/>
    <w:qFormat/>
    <w:rsid w:val="00923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83"/>
    <w:pPr>
      <w:spacing w:after="0"/>
    </w:pPr>
    <w:rPr>
      <w:rFonts w:ascii="Century Gothic" w:hAnsi="Century Gothic"/>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02C"/>
    <w:rPr>
      <w:color w:val="3399FF" w:themeColor="hyperlink"/>
      <w:u w:val="single"/>
    </w:rPr>
  </w:style>
  <w:style w:type="paragraph" w:styleId="ListParagraph">
    <w:name w:val="List Paragraph"/>
    <w:basedOn w:val="Normal"/>
    <w:uiPriority w:val="34"/>
    <w:qFormat/>
    <w:rsid w:val="00923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4371">
      <w:bodyDiv w:val="1"/>
      <w:marLeft w:val="0"/>
      <w:marRight w:val="0"/>
      <w:marTop w:val="0"/>
      <w:marBottom w:val="0"/>
      <w:divBdr>
        <w:top w:val="none" w:sz="0" w:space="0" w:color="auto"/>
        <w:left w:val="none" w:sz="0" w:space="0" w:color="auto"/>
        <w:bottom w:val="none" w:sz="0" w:space="0" w:color="auto"/>
        <w:right w:val="none" w:sz="0" w:space="0" w:color="auto"/>
      </w:divBdr>
      <w:divsChild>
        <w:div w:id="708142334">
          <w:marLeft w:val="0"/>
          <w:marRight w:val="0"/>
          <w:marTop w:val="0"/>
          <w:marBottom w:val="0"/>
          <w:divBdr>
            <w:top w:val="none" w:sz="0" w:space="0" w:color="auto"/>
            <w:left w:val="none" w:sz="0" w:space="0" w:color="auto"/>
            <w:bottom w:val="none" w:sz="0" w:space="0" w:color="auto"/>
            <w:right w:val="none" w:sz="0" w:space="0" w:color="auto"/>
          </w:divBdr>
          <w:divsChild>
            <w:div w:id="1508010613">
              <w:marLeft w:val="0"/>
              <w:marRight w:val="0"/>
              <w:marTop w:val="0"/>
              <w:marBottom w:val="0"/>
              <w:divBdr>
                <w:top w:val="none" w:sz="0" w:space="0" w:color="auto"/>
                <w:left w:val="none" w:sz="0" w:space="0" w:color="auto"/>
                <w:bottom w:val="none" w:sz="0" w:space="0" w:color="auto"/>
                <w:right w:val="none" w:sz="0" w:space="0" w:color="auto"/>
              </w:divBdr>
              <w:divsChild>
                <w:div w:id="1923642462">
                  <w:marLeft w:val="0"/>
                  <w:marRight w:val="0"/>
                  <w:marTop w:val="0"/>
                  <w:marBottom w:val="0"/>
                  <w:divBdr>
                    <w:top w:val="none" w:sz="0" w:space="0" w:color="auto"/>
                    <w:left w:val="none" w:sz="0" w:space="0" w:color="auto"/>
                    <w:bottom w:val="none" w:sz="0" w:space="0" w:color="auto"/>
                    <w:right w:val="none" w:sz="0" w:space="0" w:color="auto"/>
                  </w:divBdr>
                  <w:divsChild>
                    <w:div w:id="1651472058">
                      <w:marLeft w:val="0"/>
                      <w:marRight w:val="0"/>
                      <w:marTop w:val="0"/>
                      <w:marBottom w:val="0"/>
                      <w:divBdr>
                        <w:top w:val="none" w:sz="0" w:space="0" w:color="auto"/>
                        <w:left w:val="none" w:sz="0" w:space="0" w:color="auto"/>
                        <w:bottom w:val="none" w:sz="0" w:space="0" w:color="auto"/>
                        <w:right w:val="none" w:sz="0" w:space="0" w:color="auto"/>
                      </w:divBdr>
                      <w:divsChild>
                        <w:div w:id="2098594802">
                          <w:marLeft w:val="0"/>
                          <w:marRight w:val="0"/>
                          <w:marTop w:val="0"/>
                          <w:marBottom w:val="0"/>
                          <w:divBdr>
                            <w:top w:val="none" w:sz="0" w:space="0" w:color="auto"/>
                            <w:left w:val="none" w:sz="0" w:space="0" w:color="auto"/>
                            <w:bottom w:val="none" w:sz="0" w:space="0" w:color="auto"/>
                            <w:right w:val="none" w:sz="0" w:space="0" w:color="auto"/>
                          </w:divBdr>
                          <w:divsChild>
                            <w:div w:id="336806760">
                              <w:marLeft w:val="0"/>
                              <w:marRight w:val="0"/>
                              <w:marTop w:val="0"/>
                              <w:marBottom w:val="0"/>
                              <w:divBdr>
                                <w:top w:val="none" w:sz="0" w:space="0" w:color="auto"/>
                                <w:left w:val="none" w:sz="0" w:space="0" w:color="auto"/>
                                <w:bottom w:val="none" w:sz="0" w:space="0" w:color="auto"/>
                                <w:right w:val="none" w:sz="0" w:space="0" w:color="auto"/>
                              </w:divBdr>
                              <w:divsChild>
                                <w:div w:id="21174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92989">
      <w:bodyDiv w:val="1"/>
      <w:marLeft w:val="0"/>
      <w:marRight w:val="0"/>
      <w:marTop w:val="0"/>
      <w:marBottom w:val="0"/>
      <w:divBdr>
        <w:top w:val="none" w:sz="0" w:space="0" w:color="auto"/>
        <w:left w:val="none" w:sz="0" w:space="0" w:color="auto"/>
        <w:bottom w:val="none" w:sz="0" w:space="0" w:color="auto"/>
        <w:right w:val="none" w:sz="0" w:space="0" w:color="auto"/>
      </w:divBdr>
      <w:divsChild>
        <w:div w:id="733358790">
          <w:marLeft w:val="0"/>
          <w:marRight w:val="0"/>
          <w:marTop w:val="0"/>
          <w:marBottom w:val="0"/>
          <w:divBdr>
            <w:top w:val="none" w:sz="0" w:space="0" w:color="auto"/>
            <w:left w:val="none" w:sz="0" w:space="0" w:color="auto"/>
            <w:bottom w:val="none" w:sz="0" w:space="0" w:color="auto"/>
            <w:right w:val="none" w:sz="0" w:space="0" w:color="auto"/>
          </w:divBdr>
          <w:divsChild>
            <w:div w:id="1570767930">
              <w:marLeft w:val="0"/>
              <w:marRight w:val="0"/>
              <w:marTop w:val="0"/>
              <w:marBottom w:val="0"/>
              <w:divBdr>
                <w:top w:val="none" w:sz="0" w:space="0" w:color="auto"/>
                <w:left w:val="none" w:sz="0" w:space="0" w:color="auto"/>
                <w:bottom w:val="none" w:sz="0" w:space="0" w:color="auto"/>
                <w:right w:val="none" w:sz="0" w:space="0" w:color="auto"/>
              </w:divBdr>
              <w:divsChild>
                <w:div w:id="798377034">
                  <w:marLeft w:val="0"/>
                  <w:marRight w:val="0"/>
                  <w:marTop w:val="0"/>
                  <w:marBottom w:val="0"/>
                  <w:divBdr>
                    <w:top w:val="none" w:sz="0" w:space="0" w:color="auto"/>
                    <w:left w:val="none" w:sz="0" w:space="0" w:color="auto"/>
                    <w:bottom w:val="none" w:sz="0" w:space="0" w:color="auto"/>
                    <w:right w:val="none" w:sz="0" w:space="0" w:color="auto"/>
                  </w:divBdr>
                  <w:divsChild>
                    <w:div w:id="2024043576">
                      <w:marLeft w:val="0"/>
                      <w:marRight w:val="0"/>
                      <w:marTop w:val="0"/>
                      <w:marBottom w:val="0"/>
                      <w:divBdr>
                        <w:top w:val="none" w:sz="0" w:space="0" w:color="auto"/>
                        <w:left w:val="none" w:sz="0" w:space="0" w:color="auto"/>
                        <w:bottom w:val="none" w:sz="0" w:space="0" w:color="auto"/>
                        <w:right w:val="none" w:sz="0" w:space="0" w:color="auto"/>
                      </w:divBdr>
                      <w:divsChild>
                        <w:div w:id="224532301">
                          <w:marLeft w:val="0"/>
                          <w:marRight w:val="0"/>
                          <w:marTop w:val="0"/>
                          <w:marBottom w:val="0"/>
                          <w:divBdr>
                            <w:top w:val="none" w:sz="0" w:space="0" w:color="auto"/>
                            <w:left w:val="none" w:sz="0" w:space="0" w:color="auto"/>
                            <w:bottom w:val="none" w:sz="0" w:space="0" w:color="auto"/>
                            <w:right w:val="none" w:sz="0" w:space="0" w:color="auto"/>
                          </w:divBdr>
                          <w:divsChild>
                            <w:div w:id="781268042">
                              <w:marLeft w:val="0"/>
                              <w:marRight w:val="0"/>
                              <w:marTop w:val="0"/>
                              <w:marBottom w:val="0"/>
                              <w:divBdr>
                                <w:top w:val="none" w:sz="0" w:space="0" w:color="auto"/>
                                <w:left w:val="none" w:sz="0" w:space="0" w:color="auto"/>
                                <w:bottom w:val="none" w:sz="0" w:space="0" w:color="auto"/>
                                <w:right w:val="none" w:sz="0" w:space="0" w:color="auto"/>
                              </w:divBdr>
                              <w:divsChild>
                                <w:div w:id="9757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922750">
      <w:bodyDiv w:val="1"/>
      <w:marLeft w:val="0"/>
      <w:marRight w:val="0"/>
      <w:marTop w:val="0"/>
      <w:marBottom w:val="0"/>
      <w:divBdr>
        <w:top w:val="none" w:sz="0" w:space="0" w:color="auto"/>
        <w:left w:val="none" w:sz="0" w:space="0" w:color="auto"/>
        <w:bottom w:val="none" w:sz="0" w:space="0" w:color="auto"/>
        <w:right w:val="none" w:sz="0" w:space="0" w:color="auto"/>
      </w:divBdr>
      <w:divsChild>
        <w:div w:id="1781099171">
          <w:marLeft w:val="0"/>
          <w:marRight w:val="0"/>
          <w:marTop w:val="0"/>
          <w:marBottom w:val="0"/>
          <w:divBdr>
            <w:top w:val="none" w:sz="0" w:space="0" w:color="auto"/>
            <w:left w:val="none" w:sz="0" w:space="0" w:color="auto"/>
            <w:bottom w:val="none" w:sz="0" w:space="0" w:color="auto"/>
            <w:right w:val="none" w:sz="0" w:space="0" w:color="auto"/>
          </w:divBdr>
          <w:divsChild>
            <w:div w:id="1742289730">
              <w:marLeft w:val="0"/>
              <w:marRight w:val="0"/>
              <w:marTop w:val="0"/>
              <w:marBottom w:val="0"/>
              <w:divBdr>
                <w:top w:val="none" w:sz="0" w:space="0" w:color="auto"/>
                <w:left w:val="none" w:sz="0" w:space="0" w:color="auto"/>
                <w:bottom w:val="none" w:sz="0" w:space="0" w:color="auto"/>
                <w:right w:val="none" w:sz="0" w:space="0" w:color="auto"/>
              </w:divBdr>
              <w:divsChild>
                <w:div w:id="342434781">
                  <w:marLeft w:val="0"/>
                  <w:marRight w:val="0"/>
                  <w:marTop w:val="0"/>
                  <w:marBottom w:val="0"/>
                  <w:divBdr>
                    <w:top w:val="none" w:sz="0" w:space="0" w:color="auto"/>
                    <w:left w:val="none" w:sz="0" w:space="0" w:color="auto"/>
                    <w:bottom w:val="none" w:sz="0" w:space="0" w:color="auto"/>
                    <w:right w:val="none" w:sz="0" w:space="0" w:color="auto"/>
                  </w:divBdr>
                  <w:divsChild>
                    <w:div w:id="208343071">
                      <w:marLeft w:val="0"/>
                      <w:marRight w:val="0"/>
                      <w:marTop w:val="0"/>
                      <w:marBottom w:val="0"/>
                      <w:divBdr>
                        <w:top w:val="none" w:sz="0" w:space="0" w:color="auto"/>
                        <w:left w:val="none" w:sz="0" w:space="0" w:color="auto"/>
                        <w:bottom w:val="none" w:sz="0" w:space="0" w:color="auto"/>
                        <w:right w:val="none" w:sz="0" w:space="0" w:color="auto"/>
                      </w:divBdr>
                      <w:divsChild>
                        <w:div w:id="800271523">
                          <w:marLeft w:val="26"/>
                          <w:marRight w:val="0"/>
                          <w:marTop w:val="0"/>
                          <w:marBottom w:val="0"/>
                          <w:divBdr>
                            <w:top w:val="none" w:sz="0" w:space="0" w:color="auto"/>
                            <w:left w:val="none" w:sz="0" w:space="0" w:color="auto"/>
                            <w:bottom w:val="none" w:sz="0" w:space="0" w:color="auto"/>
                            <w:right w:val="none" w:sz="0" w:space="0" w:color="auto"/>
                          </w:divBdr>
                          <w:divsChild>
                            <w:div w:id="262496878">
                              <w:marLeft w:val="0"/>
                              <w:marRight w:val="0"/>
                              <w:marTop w:val="240"/>
                              <w:marBottom w:val="240"/>
                              <w:divBdr>
                                <w:top w:val="none" w:sz="0" w:space="0" w:color="auto"/>
                                <w:left w:val="none" w:sz="0" w:space="0" w:color="auto"/>
                                <w:bottom w:val="none" w:sz="0" w:space="0" w:color="auto"/>
                                <w:right w:val="none" w:sz="0" w:space="0" w:color="auto"/>
                              </w:divBdr>
                              <w:divsChild>
                                <w:div w:id="197663846">
                                  <w:marLeft w:val="0"/>
                                  <w:marRight w:val="0"/>
                                  <w:marTop w:val="0"/>
                                  <w:marBottom w:val="0"/>
                                  <w:divBdr>
                                    <w:top w:val="none" w:sz="0" w:space="0" w:color="auto"/>
                                    <w:left w:val="none" w:sz="0" w:space="0" w:color="auto"/>
                                    <w:bottom w:val="none" w:sz="0" w:space="0" w:color="auto"/>
                                    <w:right w:val="none" w:sz="0" w:space="0" w:color="auto"/>
                                  </w:divBdr>
                                  <w:divsChild>
                                    <w:div w:id="695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103442">
      <w:bodyDiv w:val="1"/>
      <w:marLeft w:val="0"/>
      <w:marRight w:val="0"/>
      <w:marTop w:val="0"/>
      <w:marBottom w:val="0"/>
      <w:divBdr>
        <w:top w:val="none" w:sz="0" w:space="0" w:color="auto"/>
        <w:left w:val="none" w:sz="0" w:space="0" w:color="auto"/>
        <w:bottom w:val="none" w:sz="0" w:space="0" w:color="auto"/>
        <w:right w:val="none" w:sz="0" w:space="0" w:color="auto"/>
      </w:divBdr>
      <w:divsChild>
        <w:div w:id="701707986">
          <w:marLeft w:val="0"/>
          <w:marRight w:val="0"/>
          <w:marTop w:val="0"/>
          <w:marBottom w:val="0"/>
          <w:divBdr>
            <w:top w:val="none" w:sz="0" w:space="0" w:color="auto"/>
            <w:left w:val="none" w:sz="0" w:space="0" w:color="auto"/>
            <w:bottom w:val="none" w:sz="0" w:space="0" w:color="auto"/>
            <w:right w:val="none" w:sz="0" w:space="0" w:color="auto"/>
          </w:divBdr>
          <w:divsChild>
            <w:div w:id="980841775">
              <w:marLeft w:val="0"/>
              <w:marRight w:val="0"/>
              <w:marTop w:val="0"/>
              <w:marBottom w:val="0"/>
              <w:divBdr>
                <w:top w:val="none" w:sz="0" w:space="0" w:color="auto"/>
                <w:left w:val="none" w:sz="0" w:space="0" w:color="auto"/>
                <w:bottom w:val="none" w:sz="0" w:space="0" w:color="auto"/>
                <w:right w:val="none" w:sz="0" w:space="0" w:color="auto"/>
              </w:divBdr>
              <w:divsChild>
                <w:div w:id="1959336900">
                  <w:marLeft w:val="0"/>
                  <w:marRight w:val="0"/>
                  <w:marTop w:val="0"/>
                  <w:marBottom w:val="0"/>
                  <w:divBdr>
                    <w:top w:val="none" w:sz="0" w:space="0" w:color="auto"/>
                    <w:left w:val="none" w:sz="0" w:space="0" w:color="auto"/>
                    <w:bottom w:val="none" w:sz="0" w:space="0" w:color="auto"/>
                    <w:right w:val="none" w:sz="0" w:space="0" w:color="auto"/>
                  </w:divBdr>
                  <w:divsChild>
                    <w:div w:id="132647276">
                      <w:marLeft w:val="0"/>
                      <w:marRight w:val="0"/>
                      <w:marTop w:val="0"/>
                      <w:marBottom w:val="0"/>
                      <w:divBdr>
                        <w:top w:val="none" w:sz="0" w:space="0" w:color="auto"/>
                        <w:left w:val="none" w:sz="0" w:space="0" w:color="auto"/>
                        <w:bottom w:val="none" w:sz="0" w:space="0" w:color="auto"/>
                        <w:right w:val="none" w:sz="0" w:space="0" w:color="auto"/>
                      </w:divBdr>
                      <w:divsChild>
                        <w:div w:id="1237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650619">
      <w:bodyDiv w:val="1"/>
      <w:marLeft w:val="0"/>
      <w:marRight w:val="0"/>
      <w:marTop w:val="0"/>
      <w:marBottom w:val="0"/>
      <w:divBdr>
        <w:top w:val="none" w:sz="0" w:space="0" w:color="auto"/>
        <w:left w:val="none" w:sz="0" w:space="0" w:color="auto"/>
        <w:bottom w:val="none" w:sz="0" w:space="0" w:color="auto"/>
        <w:right w:val="none" w:sz="0" w:space="0" w:color="auto"/>
      </w:divBdr>
      <w:divsChild>
        <w:div w:id="1425808751">
          <w:marLeft w:val="0"/>
          <w:marRight w:val="0"/>
          <w:marTop w:val="0"/>
          <w:marBottom w:val="0"/>
          <w:divBdr>
            <w:top w:val="none" w:sz="0" w:space="0" w:color="auto"/>
            <w:left w:val="none" w:sz="0" w:space="0" w:color="auto"/>
            <w:bottom w:val="none" w:sz="0" w:space="0" w:color="auto"/>
            <w:right w:val="none" w:sz="0" w:space="0" w:color="auto"/>
          </w:divBdr>
          <w:divsChild>
            <w:div w:id="1915620498">
              <w:marLeft w:val="0"/>
              <w:marRight w:val="0"/>
              <w:marTop w:val="0"/>
              <w:marBottom w:val="0"/>
              <w:divBdr>
                <w:top w:val="none" w:sz="0" w:space="0" w:color="auto"/>
                <w:left w:val="none" w:sz="0" w:space="0" w:color="auto"/>
                <w:bottom w:val="none" w:sz="0" w:space="0" w:color="auto"/>
                <w:right w:val="none" w:sz="0" w:space="0" w:color="auto"/>
              </w:divBdr>
              <w:divsChild>
                <w:div w:id="1011833538">
                  <w:marLeft w:val="0"/>
                  <w:marRight w:val="0"/>
                  <w:marTop w:val="0"/>
                  <w:marBottom w:val="0"/>
                  <w:divBdr>
                    <w:top w:val="none" w:sz="0" w:space="0" w:color="auto"/>
                    <w:left w:val="none" w:sz="0" w:space="0" w:color="auto"/>
                    <w:bottom w:val="none" w:sz="0" w:space="0" w:color="auto"/>
                    <w:right w:val="none" w:sz="0" w:space="0" w:color="auto"/>
                  </w:divBdr>
                  <w:divsChild>
                    <w:div w:id="1334256444">
                      <w:marLeft w:val="0"/>
                      <w:marRight w:val="0"/>
                      <w:marTop w:val="0"/>
                      <w:marBottom w:val="0"/>
                      <w:divBdr>
                        <w:top w:val="none" w:sz="0" w:space="0" w:color="auto"/>
                        <w:left w:val="none" w:sz="0" w:space="0" w:color="auto"/>
                        <w:bottom w:val="none" w:sz="0" w:space="0" w:color="auto"/>
                        <w:right w:val="none" w:sz="0" w:space="0" w:color="auto"/>
                      </w:divBdr>
                      <w:divsChild>
                        <w:div w:id="18701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641780">
      <w:bodyDiv w:val="1"/>
      <w:marLeft w:val="0"/>
      <w:marRight w:val="0"/>
      <w:marTop w:val="0"/>
      <w:marBottom w:val="0"/>
      <w:divBdr>
        <w:top w:val="none" w:sz="0" w:space="0" w:color="auto"/>
        <w:left w:val="none" w:sz="0" w:space="0" w:color="auto"/>
        <w:bottom w:val="none" w:sz="0" w:space="0" w:color="auto"/>
        <w:right w:val="none" w:sz="0" w:space="0" w:color="auto"/>
      </w:divBdr>
      <w:divsChild>
        <w:div w:id="126707418">
          <w:marLeft w:val="0"/>
          <w:marRight w:val="0"/>
          <w:marTop w:val="0"/>
          <w:marBottom w:val="0"/>
          <w:divBdr>
            <w:top w:val="none" w:sz="0" w:space="0" w:color="auto"/>
            <w:left w:val="none" w:sz="0" w:space="0" w:color="auto"/>
            <w:bottom w:val="none" w:sz="0" w:space="0" w:color="auto"/>
            <w:right w:val="none" w:sz="0" w:space="0" w:color="auto"/>
          </w:divBdr>
          <w:divsChild>
            <w:div w:id="2121410486">
              <w:marLeft w:val="0"/>
              <w:marRight w:val="0"/>
              <w:marTop w:val="0"/>
              <w:marBottom w:val="0"/>
              <w:divBdr>
                <w:top w:val="none" w:sz="0" w:space="0" w:color="auto"/>
                <w:left w:val="none" w:sz="0" w:space="0" w:color="auto"/>
                <w:bottom w:val="none" w:sz="0" w:space="0" w:color="auto"/>
                <w:right w:val="none" w:sz="0" w:space="0" w:color="auto"/>
              </w:divBdr>
              <w:divsChild>
                <w:div w:id="2011367348">
                  <w:marLeft w:val="0"/>
                  <w:marRight w:val="0"/>
                  <w:marTop w:val="0"/>
                  <w:marBottom w:val="0"/>
                  <w:divBdr>
                    <w:top w:val="none" w:sz="0" w:space="0" w:color="auto"/>
                    <w:left w:val="none" w:sz="0" w:space="0" w:color="auto"/>
                    <w:bottom w:val="none" w:sz="0" w:space="0" w:color="auto"/>
                    <w:right w:val="none" w:sz="0" w:space="0" w:color="auto"/>
                  </w:divBdr>
                  <w:divsChild>
                    <w:div w:id="1199775232">
                      <w:marLeft w:val="0"/>
                      <w:marRight w:val="0"/>
                      <w:marTop w:val="0"/>
                      <w:marBottom w:val="0"/>
                      <w:divBdr>
                        <w:top w:val="none" w:sz="0" w:space="0" w:color="auto"/>
                        <w:left w:val="none" w:sz="0" w:space="0" w:color="auto"/>
                        <w:bottom w:val="none" w:sz="0" w:space="0" w:color="auto"/>
                        <w:right w:val="none" w:sz="0" w:space="0" w:color="auto"/>
                      </w:divBdr>
                      <w:divsChild>
                        <w:div w:id="1225490069">
                          <w:marLeft w:val="0"/>
                          <w:marRight w:val="0"/>
                          <w:marTop w:val="0"/>
                          <w:marBottom w:val="0"/>
                          <w:divBdr>
                            <w:top w:val="none" w:sz="0" w:space="0" w:color="auto"/>
                            <w:left w:val="none" w:sz="0" w:space="0" w:color="auto"/>
                            <w:bottom w:val="none" w:sz="0" w:space="0" w:color="auto"/>
                            <w:right w:val="none" w:sz="0" w:space="0" w:color="auto"/>
                          </w:divBdr>
                          <w:divsChild>
                            <w:div w:id="723993203">
                              <w:marLeft w:val="0"/>
                              <w:marRight w:val="0"/>
                              <w:marTop w:val="0"/>
                              <w:marBottom w:val="0"/>
                              <w:divBdr>
                                <w:top w:val="none" w:sz="0" w:space="0" w:color="auto"/>
                                <w:left w:val="none" w:sz="0" w:space="0" w:color="auto"/>
                                <w:bottom w:val="none" w:sz="0" w:space="0" w:color="auto"/>
                                <w:right w:val="none" w:sz="0" w:space="0" w:color="auto"/>
                              </w:divBdr>
                              <w:divsChild>
                                <w:div w:id="8896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898977">
      <w:bodyDiv w:val="1"/>
      <w:marLeft w:val="0"/>
      <w:marRight w:val="0"/>
      <w:marTop w:val="0"/>
      <w:marBottom w:val="0"/>
      <w:divBdr>
        <w:top w:val="none" w:sz="0" w:space="0" w:color="auto"/>
        <w:left w:val="none" w:sz="0" w:space="0" w:color="auto"/>
        <w:bottom w:val="none" w:sz="0" w:space="0" w:color="auto"/>
        <w:right w:val="none" w:sz="0" w:space="0" w:color="auto"/>
      </w:divBdr>
      <w:divsChild>
        <w:div w:id="1306159824">
          <w:marLeft w:val="0"/>
          <w:marRight w:val="0"/>
          <w:marTop w:val="0"/>
          <w:marBottom w:val="0"/>
          <w:divBdr>
            <w:top w:val="none" w:sz="0" w:space="0" w:color="auto"/>
            <w:left w:val="none" w:sz="0" w:space="0" w:color="auto"/>
            <w:bottom w:val="none" w:sz="0" w:space="0" w:color="auto"/>
            <w:right w:val="none" w:sz="0" w:space="0" w:color="auto"/>
          </w:divBdr>
          <w:divsChild>
            <w:div w:id="1555578166">
              <w:marLeft w:val="0"/>
              <w:marRight w:val="0"/>
              <w:marTop w:val="0"/>
              <w:marBottom w:val="0"/>
              <w:divBdr>
                <w:top w:val="none" w:sz="0" w:space="0" w:color="auto"/>
                <w:left w:val="none" w:sz="0" w:space="0" w:color="auto"/>
                <w:bottom w:val="none" w:sz="0" w:space="0" w:color="auto"/>
                <w:right w:val="none" w:sz="0" w:space="0" w:color="auto"/>
              </w:divBdr>
              <w:divsChild>
                <w:div w:id="1870684696">
                  <w:marLeft w:val="0"/>
                  <w:marRight w:val="0"/>
                  <w:marTop w:val="0"/>
                  <w:marBottom w:val="0"/>
                  <w:divBdr>
                    <w:top w:val="none" w:sz="0" w:space="0" w:color="auto"/>
                    <w:left w:val="none" w:sz="0" w:space="0" w:color="auto"/>
                    <w:bottom w:val="none" w:sz="0" w:space="0" w:color="auto"/>
                    <w:right w:val="none" w:sz="0" w:space="0" w:color="auto"/>
                  </w:divBdr>
                  <w:divsChild>
                    <w:div w:id="483014489">
                      <w:marLeft w:val="0"/>
                      <w:marRight w:val="0"/>
                      <w:marTop w:val="0"/>
                      <w:marBottom w:val="0"/>
                      <w:divBdr>
                        <w:top w:val="none" w:sz="0" w:space="0" w:color="auto"/>
                        <w:left w:val="none" w:sz="0" w:space="0" w:color="auto"/>
                        <w:bottom w:val="none" w:sz="0" w:space="0" w:color="auto"/>
                        <w:right w:val="none" w:sz="0" w:space="0" w:color="auto"/>
                      </w:divBdr>
                      <w:divsChild>
                        <w:div w:id="1140925240">
                          <w:marLeft w:val="26"/>
                          <w:marRight w:val="0"/>
                          <w:marTop w:val="0"/>
                          <w:marBottom w:val="0"/>
                          <w:divBdr>
                            <w:top w:val="none" w:sz="0" w:space="0" w:color="auto"/>
                            <w:left w:val="none" w:sz="0" w:space="0" w:color="auto"/>
                            <w:bottom w:val="none" w:sz="0" w:space="0" w:color="auto"/>
                            <w:right w:val="none" w:sz="0" w:space="0" w:color="auto"/>
                          </w:divBdr>
                          <w:divsChild>
                            <w:div w:id="108667935">
                              <w:marLeft w:val="0"/>
                              <w:marRight w:val="0"/>
                              <w:marTop w:val="240"/>
                              <w:marBottom w:val="240"/>
                              <w:divBdr>
                                <w:top w:val="none" w:sz="0" w:space="0" w:color="auto"/>
                                <w:left w:val="none" w:sz="0" w:space="0" w:color="auto"/>
                                <w:bottom w:val="none" w:sz="0" w:space="0" w:color="auto"/>
                                <w:right w:val="none" w:sz="0" w:space="0" w:color="auto"/>
                              </w:divBdr>
                              <w:divsChild>
                                <w:div w:id="721102951">
                                  <w:marLeft w:val="0"/>
                                  <w:marRight w:val="0"/>
                                  <w:marTop w:val="0"/>
                                  <w:marBottom w:val="0"/>
                                  <w:divBdr>
                                    <w:top w:val="none" w:sz="0" w:space="0" w:color="auto"/>
                                    <w:left w:val="none" w:sz="0" w:space="0" w:color="auto"/>
                                    <w:bottom w:val="none" w:sz="0" w:space="0" w:color="auto"/>
                                    <w:right w:val="none" w:sz="0" w:space="0" w:color="auto"/>
                                  </w:divBdr>
                                  <w:divsChild>
                                    <w:div w:id="12982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850470">
      <w:bodyDiv w:val="1"/>
      <w:marLeft w:val="0"/>
      <w:marRight w:val="0"/>
      <w:marTop w:val="0"/>
      <w:marBottom w:val="0"/>
      <w:divBdr>
        <w:top w:val="none" w:sz="0" w:space="0" w:color="auto"/>
        <w:left w:val="none" w:sz="0" w:space="0" w:color="auto"/>
        <w:bottom w:val="none" w:sz="0" w:space="0" w:color="auto"/>
        <w:right w:val="none" w:sz="0" w:space="0" w:color="auto"/>
      </w:divBdr>
      <w:divsChild>
        <w:div w:id="1054542895">
          <w:marLeft w:val="0"/>
          <w:marRight w:val="0"/>
          <w:marTop w:val="0"/>
          <w:marBottom w:val="0"/>
          <w:divBdr>
            <w:top w:val="none" w:sz="0" w:space="0" w:color="auto"/>
            <w:left w:val="none" w:sz="0" w:space="0" w:color="auto"/>
            <w:bottom w:val="none" w:sz="0" w:space="0" w:color="auto"/>
            <w:right w:val="none" w:sz="0" w:space="0" w:color="auto"/>
          </w:divBdr>
          <w:divsChild>
            <w:div w:id="1241141862">
              <w:marLeft w:val="0"/>
              <w:marRight w:val="0"/>
              <w:marTop w:val="0"/>
              <w:marBottom w:val="0"/>
              <w:divBdr>
                <w:top w:val="none" w:sz="0" w:space="0" w:color="auto"/>
                <w:left w:val="none" w:sz="0" w:space="0" w:color="auto"/>
                <w:bottom w:val="none" w:sz="0" w:space="0" w:color="auto"/>
                <w:right w:val="none" w:sz="0" w:space="0" w:color="auto"/>
              </w:divBdr>
              <w:divsChild>
                <w:div w:id="708989186">
                  <w:marLeft w:val="0"/>
                  <w:marRight w:val="0"/>
                  <w:marTop w:val="0"/>
                  <w:marBottom w:val="0"/>
                  <w:divBdr>
                    <w:top w:val="none" w:sz="0" w:space="0" w:color="auto"/>
                    <w:left w:val="none" w:sz="0" w:space="0" w:color="auto"/>
                    <w:bottom w:val="none" w:sz="0" w:space="0" w:color="auto"/>
                    <w:right w:val="none" w:sz="0" w:space="0" w:color="auto"/>
                  </w:divBdr>
                  <w:divsChild>
                    <w:div w:id="1455905552">
                      <w:marLeft w:val="0"/>
                      <w:marRight w:val="0"/>
                      <w:marTop w:val="0"/>
                      <w:marBottom w:val="0"/>
                      <w:divBdr>
                        <w:top w:val="none" w:sz="0" w:space="0" w:color="auto"/>
                        <w:left w:val="none" w:sz="0" w:space="0" w:color="auto"/>
                        <w:bottom w:val="none" w:sz="0" w:space="0" w:color="auto"/>
                        <w:right w:val="none" w:sz="0" w:space="0" w:color="auto"/>
                      </w:divBdr>
                      <w:divsChild>
                        <w:div w:id="1201868046">
                          <w:marLeft w:val="0"/>
                          <w:marRight w:val="0"/>
                          <w:marTop w:val="0"/>
                          <w:marBottom w:val="0"/>
                          <w:divBdr>
                            <w:top w:val="none" w:sz="0" w:space="0" w:color="auto"/>
                            <w:left w:val="none" w:sz="0" w:space="0" w:color="auto"/>
                            <w:bottom w:val="none" w:sz="0" w:space="0" w:color="auto"/>
                            <w:right w:val="none" w:sz="0" w:space="0" w:color="auto"/>
                          </w:divBdr>
                          <w:divsChild>
                            <w:div w:id="884220712">
                              <w:marLeft w:val="0"/>
                              <w:marRight w:val="0"/>
                              <w:marTop w:val="0"/>
                              <w:marBottom w:val="0"/>
                              <w:divBdr>
                                <w:top w:val="none" w:sz="0" w:space="0" w:color="auto"/>
                                <w:left w:val="none" w:sz="0" w:space="0" w:color="auto"/>
                                <w:bottom w:val="none" w:sz="0" w:space="0" w:color="auto"/>
                                <w:right w:val="none" w:sz="0" w:space="0" w:color="auto"/>
                              </w:divBdr>
                              <w:divsChild>
                                <w:div w:id="5243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97817">
      <w:bodyDiv w:val="1"/>
      <w:marLeft w:val="0"/>
      <w:marRight w:val="0"/>
      <w:marTop w:val="0"/>
      <w:marBottom w:val="0"/>
      <w:divBdr>
        <w:top w:val="none" w:sz="0" w:space="0" w:color="auto"/>
        <w:left w:val="none" w:sz="0" w:space="0" w:color="auto"/>
        <w:bottom w:val="none" w:sz="0" w:space="0" w:color="auto"/>
        <w:right w:val="none" w:sz="0" w:space="0" w:color="auto"/>
      </w:divBdr>
      <w:divsChild>
        <w:div w:id="1379210131">
          <w:marLeft w:val="0"/>
          <w:marRight w:val="0"/>
          <w:marTop w:val="0"/>
          <w:marBottom w:val="0"/>
          <w:divBdr>
            <w:top w:val="none" w:sz="0" w:space="0" w:color="auto"/>
            <w:left w:val="none" w:sz="0" w:space="0" w:color="auto"/>
            <w:bottom w:val="none" w:sz="0" w:space="0" w:color="auto"/>
            <w:right w:val="none" w:sz="0" w:space="0" w:color="auto"/>
          </w:divBdr>
          <w:divsChild>
            <w:div w:id="118498308">
              <w:marLeft w:val="0"/>
              <w:marRight w:val="0"/>
              <w:marTop w:val="0"/>
              <w:marBottom w:val="0"/>
              <w:divBdr>
                <w:top w:val="none" w:sz="0" w:space="0" w:color="auto"/>
                <w:left w:val="none" w:sz="0" w:space="0" w:color="auto"/>
                <w:bottom w:val="none" w:sz="0" w:space="0" w:color="auto"/>
                <w:right w:val="none" w:sz="0" w:space="0" w:color="auto"/>
              </w:divBdr>
              <w:divsChild>
                <w:div w:id="1233658239">
                  <w:marLeft w:val="0"/>
                  <w:marRight w:val="0"/>
                  <w:marTop w:val="0"/>
                  <w:marBottom w:val="0"/>
                  <w:divBdr>
                    <w:top w:val="none" w:sz="0" w:space="0" w:color="auto"/>
                    <w:left w:val="none" w:sz="0" w:space="0" w:color="auto"/>
                    <w:bottom w:val="none" w:sz="0" w:space="0" w:color="auto"/>
                    <w:right w:val="none" w:sz="0" w:space="0" w:color="auto"/>
                  </w:divBdr>
                  <w:divsChild>
                    <w:div w:id="1184244847">
                      <w:marLeft w:val="0"/>
                      <w:marRight w:val="0"/>
                      <w:marTop w:val="0"/>
                      <w:marBottom w:val="0"/>
                      <w:divBdr>
                        <w:top w:val="none" w:sz="0" w:space="0" w:color="auto"/>
                        <w:left w:val="none" w:sz="0" w:space="0" w:color="auto"/>
                        <w:bottom w:val="none" w:sz="0" w:space="0" w:color="auto"/>
                        <w:right w:val="none" w:sz="0" w:space="0" w:color="auto"/>
                      </w:divBdr>
                      <w:divsChild>
                        <w:div w:id="467742875">
                          <w:marLeft w:val="0"/>
                          <w:marRight w:val="0"/>
                          <w:marTop w:val="0"/>
                          <w:marBottom w:val="0"/>
                          <w:divBdr>
                            <w:top w:val="none" w:sz="0" w:space="0" w:color="auto"/>
                            <w:left w:val="none" w:sz="0" w:space="0" w:color="auto"/>
                            <w:bottom w:val="none" w:sz="0" w:space="0" w:color="auto"/>
                            <w:right w:val="none" w:sz="0" w:space="0" w:color="auto"/>
                          </w:divBdr>
                          <w:divsChild>
                            <w:div w:id="30109114">
                              <w:marLeft w:val="0"/>
                              <w:marRight w:val="0"/>
                              <w:marTop w:val="0"/>
                              <w:marBottom w:val="0"/>
                              <w:divBdr>
                                <w:top w:val="none" w:sz="0" w:space="0" w:color="auto"/>
                                <w:left w:val="none" w:sz="0" w:space="0" w:color="auto"/>
                                <w:bottom w:val="none" w:sz="0" w:space="0" w:color="auto"/>
                                <w:right w:val="none" w:sz="0" w:space="0" w:color="auto"/>
                              </w:divBdr>
                              <w:divsChild>
                                <w:div w:id="19083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023">
      <w:bodyDiv w:val="1"/>
      <w:marLeft w:val="0"/>
      <w:marRight w:val="0"/>
      <w:marTop w:val="0"/>
      <w:marBottom w:val="0"/>
      <w:divBdr>
        <w:top w:val="none" w:sz="0" w:space="0" w:color="auto"/>
        <w:left w:val="none" w:sz="0" w:space="0" w:color="auto"/>
        <w:bottom w:val="none" w:sz="0" w:space="0" w:color="auto"/>
        <w:right w:val="none" w:sz="0" w:space="0" w:color="auto"/>
      </w:divBdr>
      <w:divsChild>
        <w:div w:id="764109814">
          <w:marLeft w:val="0"/>
          <w:marRight w:val="0"/>
          <w:marTop w:val="0"/>
          <w:marBottom w:val="0"/>
          <w:divBdr>
            <w:top w:val="none" w:sz="0" w:space="0" w:color="auto"/>
            <w:left w:val="none" w:sz="0" w:space="0" w:color="auto"/>
            <w:bottom w:val="none" w:sz="0" w:space="0" w:color="auto"/>
            <w:right w:val="none" w:sz="0" w:space="0" w:color="auto"/>
          </w:divBdr>
          <w:divsChild>
            <w:div w:id="553002651">
              <w:marLeft w:val="0"/>
              <w:marRight w:val="0"/>
              <w:marTop w:val="0"/>
              <w:marBottom w:val="0"/>
              <w:divBdr>
                <w:top w:val="none" w:sz="0" w:space="0" w:color="auto"/>
                <w:left w:val="none" w:sz="0" w:space="0" w:color="auto"/>
                <w:bottom w:val="none" w:sz="0" w:space="0" w:color="auto"/>
                <w:right w:val="none" w:sz="0" w:space="0" w:color="auto"/>
              </w:divBdr>
              <w:divsChild>
                <w:div w:id="2019385592">
                  <w:marLeft w:val="0"/>
                  <w:marRight w:val="0"/>
                  <w:marTop w:val="0"/>
                  <w:marBottom w:val="0"/>
                  <w:divBdr>
                    <w:top w:val="none" w:sz="0" w:space="0" w:color="auto"/>
                    <w:left w:val="none" w:sz="0" w:space="0" w:color="auto"/>
                    <w:bottom w:val="none" w:sz="0" w:space="0" w:color="auto"/>
                    <w:right w:val="none" w:sz="0" w:space="0" w:color="auto"/>
                  </w:divBdr>
                  <w:divsChild>
                    <w:div w:id="660238781">
                      <w:marLeft w:val="0"/>
                      <w:marRight w:val="0"/>
                      <w:marTop w:val="0"/>
                      <w:marBottom w:val="0"/>
                      <w:divBdr>
                        <w:top w:val="none" w:sz="0" w:space="0" w:color="auto"/>
                        <w:left w:val="none" w:sz="0" w:space="0" w:color="auto"/>
                        <w:bottom w:val="none" w:sz="0" w:space="0" w:color="auto"/>
                        <w:right w:val="none" w:sz="0" w:space="0" w:color="auto"/>
                      </w:divBdr>
                      <w:divsChild>
                        <w:div w:id="2026782422">
                          <w:marLeft w:val="0"/>
                          <w:marRight w:val="0"/>
                          <w:marTop w:val="0"/>
                          <w:marBottom w:val="0"/>
                          <w:divBdr>
                            <w:top w:val="none" w:sz="0" w:space="0" w:color="auto"/>
                            <w:left w:val="none" w:sz="0" w:space="0" w:color="auto"/>
                            <w:bottom w:val="none" w:sz="0" w:space="0" w:color="auto"/>
                            <w:right w:val="none" w:sz="0" w:space="0" w:color="auto"/>
                          </w:divBdr>
                          <w:divsChild>
                            <w:div w:id="1982152862">
                              <w:marLeft w:val="0"/>
                              <w:marRight w:val="0"/>
                              <w:marTop w:val="0"/>
                              <w:marBottom w:val="0"/>
                              <w:divBdr>
                                <w:top w:val="none" w:sz="0" w:space="0" w:color="auto"/>
                                <w:left w:val="none" w:sz="0" w:space="0" w:color="auto"/>
                                <w:bottom w:val="none" w:sz="0" w:space="0" w:color="auto"/>
                                <w:right w:val="none" w:sz="0" w:space="0" w:color="auto"/>
                              </w:divBdr>
                              <w:divsChild>
                                <w:div w:id="1180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p.wa.gov.au/legislation/statutes.nsf/main_mrtitle_305_homepage.html" TargetMode="External"/><Relationship Id="rId13" Type="http://schemas.openxmlformats.org/officeDocument/2006/relationships/hyperlink" Target="http://www.ilo.org/dyn/normlex/en/f?p=NORMLEXPUB:12100:0::NO::P12100_ILO_CODE:C111" TargetMode="External"/><Relationship Id="rId18" Type="http://schemas.openxmlformats.org/officeDocument/2006/relationships/hyperlink" Target="http://www.ohchr.org/EN/ProfessionalInterest/Pages/RightsOfMentallyRetardedPersons.aspx" TargetMode="External"/><Relationship Id="rId26" Type="http://schemas.openxmlformats.org/officeDocument/2006/relationships/hyperlink" Target="http://www.ohchr.org/EN/ProfessionalInterest/Pages/RightsOfDisabledPersons.aspx" TargetMode="External"/><Relationship Id="rId3" Type="http://schemas.microsoft.com/office/2007/relationships/stylesWithEffects" Target="stylesWithEffects.xml"/><Relationship Id="rId21" Type="http://schemas.openxmlformats.org/officeDocument/2006/relationships/hyperlink" Target="http://www.ohchr.org/EN/ProfessionalInterest/Pages/CCPR.aspx" TargetMode="External"/><Relationship Id="rId34" Type="http://schemas.openxmlformats.org/officeDocument/2006/relationships/hyperlink" Target="http://www.humanrights.gov.au" TargetMode="External"/><Relationship Id="rId7" Type="http://schemas.openxmlformats.org/officeDocument/2006/relationships/hyperlink" Target="http://www.slp.wa.gov.au/legislation/statutes.nsf/main_mrtitle_305_homepage.html" TargetMode="External"/><Relationship Id="rId12" Type="http://schemas.openxmlformats.org/officeDocument/2006/relationships/hyperlink" Target="http://www.ohchr.org/EN/ProfessionalInterest/Pages/CCPR.aspx" TargetMode="External"/><Relationship Id="rId17" Type="http://schemas.openxmlformats.org/officeDocument/2006/relationships/hyperlink" Target="http://www.ohchr.org/EN/ProfessionalInterest/Pages/RightsOfDisabledPersons.aspx" TargetMode="External"/><Relationship Id="rId25" Type="http://schemas.openxmlformats.org/officeDocument/2006/relationships/hyperlink" Target="http://www.austlii.edu.au/au/legis/cth/consol_act/ahrca1986373/sch3.html" TargetMode="External"/><Relationship Id="rId33" Type="http://schemas.openxmlformats.org/officeDocument/2006/relationships/hyperlink" Target="http://www.eoc.wa.gov.au" TargetMode="External"/><Relationship Id="rId2" Type="http://schemas.openxmlformats.org/officeDocument/2006/relationships/styles" Target="styles.xml"/><Relationship Id="rId16" Type="http://schemas.openxmlformats.org/officeDocument/2006/relationships/hyperlink" Target="http://www.austlii.edu.au/au/legis/cth/consol_act/ahrca1986373/sch3.html" TargetMode="External"/><Relationship Id="rId20" Type="http://schemas.openxmlformats.org/officeDocument/2006/relationships/hyperlink" Target="http://www.comlaw.gov.au/comlaw/management.nsf/lookupindexpagesbyid/IP200401635?OpenDocument" TargetMode="External"/><Relationship Id="rId29" Type="http://schemas.openxmlformats.org/officeDocument/2006/relationships/hyperlink" Target="https://www.humanrights.gov.au/education/index.html" TargetMode="External"/><Relationship Id="rId1" Type="http://schemas.openxmlformats.org/officeDocument/2006/relationships/numbering" Target="numbering.xml"/><Relationship Id="rId6" Type="http://schemas.openxmlformats.org/officeDocument/2006/relationships/hyperlink" Target="http://www.slp.wa.gov.au/legislation/statutes.nsf/main_mrtitle_305_homepage.html" TargetMode="External"/><Relationship Id="rId11" Type="http://schemas.openxmlformats.org/officeDocument/2006/relationships/hyperlink" Target="http://www.comlaw.gov.au/comlaw/management.nsf/lookupindexpagesbyid/IP200401635?OpenDocument" TargetMode="External"/><Relationship Id="rId24" Type="http://schemas.openxmlformats.org/officeDocument/2006/relationships/hyperlink" Target="http://www.ohchr.org/EN/ProfessionalInterest/Pages/CRC.aspx" TargetMode="External"/><Relationship Id="rId32" Type="http://schemas.openxmlformats.org/officeDocument/2006/relationships/hyperlink" Target="http://www.asiapacificforum.net/" TargetMode="External"/><Relationship Id="rId5" Type="http://schemas.openxmlformats.org/officeDocument/2006/relationships/webSettings" Target="webSettings.xml"/><Relationship Id="rId15" Type="http://schemas.openxmlformats.org/officeDocument/2006/relationships/hyperlink" Target="http://www.ohchr.org/EN/ProfessionalInterest/Pages/CRC.aspx" TargetMode="External"/><Relationship Id="rId23" Type="http://schemas.openxmlformats.org/officeDocument/2006/relationships/hyperlink" Target="http://www.un.org/disabilities/convention/conventionfull.shtml" TargetMode="External"/><Relationship Id="rId28" Type="http://schemas.openxmlformats.org/officeDocument/2006/relationships/hyperlink" Target="http://www.ohchr.org/EN/ProfessionalInterest/Pages/ReligionOrBelief.aspx" TargetMode="External"/><Relationship Id="rId36" Type="http://schemas.openxmlformats.org/officeDocument/2006/relationships/theme" Target="theme/theme1.xml"/><Relationship Id="rId10" Type="http://schemas.openxmlformats.org/officeDocument/2006/relationships/hyperlink" Target="https://www.humanrights.gov.au/about/legislation/index.html" TargetMode="External"/><Relationship Id="rId19" Type="http://schemas.openxmlformats.org/officeDocument/2006/relationships/hyperlink" Target="http://www.ohchr.org/EN/ProfessionalInterest/Pages/ReligionOrBelief.aspx" TargetMode="External"/><Relationship Id="rId31" Type="http://schemas.openxmlformats.org/officeDocument/2006/relationships/hyperlink" Target="https://www.humanrights.gov.au/legal/submissions.html" TargetMode="External"/><Relationship Id="rId4" Type="http://schemas.openxmlformats.org/officeDocument/2006/relationships/settings" Target="settings.xml"/><Relationship Id="rId9" Type="http://schemas.openxmlformats.org/officeDocument/2006/relationships/hyperlink" Target="https://www.humanrights.gov.au/complaints_information/index.html" TargetMode="External"/><Relationship Id="rId14" Type="http://schemas.openxmlformats.org/officeDocument/2006/relationships/hyperlink" Target="http://www.un.org/disabilities/convention/conventionfull.shtml" TargetMode="External"/><Relationship Id="rId22" Type="http://schemas.openxmlformats.org/officeDocument/2006/relationships/hyperlink" Target="http://www.ilo.org/dyn/normlex/en/f?p=NORMLEXPUB:12100:0::NO::P12100_ILO_CODE:C111" TargetMode="External"/><Relationship Id="rId27" Type="http://schemas.openxmlformats.org/officeDocument/2006/relationships/hyperlink" Target="http://www.ohchr.org/EN/ProfessionalInterest/Pages/RightsOfMentallyRetardedPersons.aspx" TargetMode="External"/><Relationship Id="rId30" Type="http://schemas.openxmlformats.org/officeDocument/2006/relationships/hyperlink" Target="https://www.humanrights.gov.au/legal/submissions_court/index.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CBA85B98</Template>
  <TotalTime>38</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SCHWARTZ Catherine</cp:lastModifiedBy>
  <cp:revision>9</cp:revision>
  <dcterms:created xsi:type="dcterms:W3CDTF">2016-07-25T01:31:00Z</dcterms:created>
  <dcterms:modified xsi:type="dcterms:W3CDTF">2016-07-25T02:41:00Z</dcterms:modified>
</cp:coreProperties>
</file>