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82" w:rsidRDefault="00EA1682" w:rsidP="00EA1682">
      <w:pPr>
        <w:pStyle w:val="Heading1"/>
        <w:spacing w:line="228" w:lineRule="auto"/>
      </w:pPr>
      <w:bookmarkStart w:id="0" w:name="_Toc382398524"/>
    </w:p>
    <w:p w:rsidR="00EA1682" w:rsidRDefault="00EA1682" w:rsidP="00EA1682">
      <w:pPr>
        <w:pStyle w:val="Heading1"/>
        <w:spacing w:line="228" w:lineRule="auto"/>
      </w:pPr>
      <w:r>
        <w:t>School-based assessment</w:t>
      </w:r>
      <w:bookmarkEnd w:id="0"/>
    </w:p>
    <w:p w:rsidR="00EA1682" w:rsidRDefault="00EA1682" w:rsidP="00EA1682">
      <w:pPr>
        <w:spacing w:before="120" w:line="228" w:lineRule="auto"/>
        <w:rPr>
          <w:sz w:val="20"/>
          <w:szCs w:val="20"/>
        </w:rPr>
      </w:pPr>
      <w:bookmarkStart w:id="1" w:name="_Toc347908210"/>
      <w:r>
        <w:rPr>
          <w:sz w:val="20"/>
          <w:szCs w:val="20"/>
        </w:rPr>
        <w:t xml:space="preserve">The </w:t>
      </w:r>
      <w:r>
        <w:rPr>
          <w:rFonts w:eastAsiaTheme="minorHAnsi" w:cs="Calibri"/>
          <w:sz w:val="20"/>
          <w:szCs w:val="20"/>
          <w:lang w:eastAsia="en-AU"/>
        </w:rPr>
        <w:t xml:space="preserve">Western Australian Certificate of Education (WACE) </w:t>
      </w:r>
      <w:r>
        <w:rPr>
          <w:sz w:val="20"/>
          <w:szCs w:val="20"/>
        </w:rPr>
        <w:t>Manual contains essential information on principles, policies and procedures for school-based assessment that needs to be read in conjunction with this syllabus.</w:t>
      </w:r>
    </w:p>
    <w:bookmarkEnd w:id="1"/>
    <w:p w:rsidR="00EA1682" w:rsidRDefault="00EA1682" w:rsidP="00EA1682">
      <w:pPr>
        <w:spacing w:before="120" w:line="228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Teachers design school-based assessment tasks to meet the needs of students. The table below provides details of the assessment types for the Economics</w:t>
      </w:r>
      <w:r>
        <w:rPr>
          <w:rFonts w:cs="Times New Roman"/>
          <w:color w:val="FF0000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ATAR</w:t>
      </w:r>
      <w:proofErr w:type="spellEnd"/>
      <w:r>
        <w:rPr>
          <w:rFonts w:cs="Times New Roman"/>
          <w:sz w:val="20"/>
          <w:szCs w:val="20"/>
        </w:rPr>
        <w:t xml:space="preserve"> Year 11 syllabus and the weighting for each assessment type.</w:t>
      </w:r>
    </w:p>
    <w:tbl>
      <w:tblPr>
        <w:tblStyle w:val="LightList-Accent4"/>
        <w:tblW w:w="9885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8185"/>
        <w:gridCol w:w="1700"/>
      </w:tblGrid>
      <w:tr w:rsidR="00EA1682" w:rsidTr="00EA1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FFFFFF" w:themeColor="background1"/>
            </w:tcBorders>
            <w:hideMark/>
          </w:tcPr>
          <w:p w:rsidR="00EA1682" w:rsidRDefault="00EA1682">
            <w:pPr>
              <w:spacing w:before="0" w:beforeAutospacing="0" w:after="0" w:afterAutospacing="0" w:line="228" w:lineRule="auto"/>
              <w:rPr>
                <w:rFonts w:cstheme="minorBidi"/>
                <w:szCs w:val="22"/>
              </w:rPr>
            </w:pPr>
            <w:r>
              <w:rPr>
                <w:rFonts w:cstheme="minorBidi"/>
              </w:rPr>
              <w:t>Type of assessment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single" w:sz="8" w:space="0" w:color="FFFFFF" w:themeColor="background1"/>
              <w:bottom w:val="single" w:sz="8" w:space="0" w:color="8064A2" w:themeColor="accent4"/>
            </w:tcBorders>
            <w:hideMark/>
          </w:tcPr>
          <w:p w:rsidR="00EA1682" w:rsidRDefault="00EA1682">
            <w:pPr>
              <w:spacing w:before="0" w:beforeAutospacing="0" w:after="0" w:afterAutospacing="0" w:line="228" w:lineRule="auto"/>
              <w:jc w:val="center"/>
              <w:rPr>
                <w:rFonts w:cstheme="minorBidi"/>
                <w:szCs w:val="22"/>
              </w:rPr>
            </w:pPr>
            <w:r>
              <w:rPr>
                <w:rFonts w:cstheme="minorBidi"/>
              </w:rPr>
              <w:t>Weighting</w:t>
            </w:r>
          </w:p>
        </w:tc>
      </w:tr>
      <w:tr w:rsidR="00EA1682" w:rsidTr="00EA1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tcBorders>
              <w:right w:val="nil"/>
            </w:tcBorders>
            <w:hideMark/>
          </w:tcPr>
          <w:p w:rsidR="00EA1682" w:rsidRDefault="00EA1682">
            <w:pPr>
              <w:spacing w:before="40" w:beforeAutospacing="0" w:after="40" w:afterAutospacing="0" w:line="228" w:lineRule="auto"/>
              <w:jc w:val="left"/>
              <w:rPr>
                <w:rFonts w:cstheme="minorBidi"/>
              </w:rPr>
            </w:pPr>
            <w:r>
              <w:rPr>
                <w:rFonts w:cstheme="minorBidi"/>
              </w:rPr>
              <w:t>Data interpretation/Short answer</w:t>
            </w:r>
          </w:p>
          <w:p w:rsidR="00EA1682" w:rsidRDefault="00EA1682">
            <w:pPr>
              <w:spacing w:before="40" w:beforeAutospacing="0" w:after="40" w:afterAutospacing="0" w:line="228" w:lineRule="auto"/>
              <w:jc w:val="left"/>
              <w:rPr>
                <w:rFonts w:cstheme="minorBidi"/>
                <w:b w:val="0"/>
              </w:rPr>
            </w:pPr>
            <w:proofErr w:type="gramStart"/>
            <w:r>
              <w:rPr>
                <w:rFonts w:cstheme="minorBidi"/>
                <w:b w:val="0"/>
              </w:rPr>
              <w:t>An answer</w:t>
            </w:r>
            <w:proofErr w:type="gramEnd"/>
            <w:r>
              <w:rPr>
                <w:rFonts w:cstheme="minorBidi"/>
                <w:b w:val="0"/>
              </w:rPr>
              <w:t xml:space="preserve"> of less than 150 words that can include discuss, explain or analyse an economic concept, event or issue.</w:t>
            </w:r>
          </w:p>
          <w:p w:rsidR="00EA1682" w:rsidRDefault="00EA1682">
            <w:pPr>
              <w:spacing w:before="40" w:beforeAutospacing="0" w:after="40" w:afterAutospacing="0" w:line="228" w:lineRule="auto"/>
              <w:jc w:val="left"/>
              <w:rPr>
                <w:rFonts w:cstheme="minorBidi"/>
                <w:b w:val="0"/>
              </w:rPr>
            </w:pPr>
            <w:r>
              <w:rPr>
                <w:rFonts w:cstheme="minorBidi"/>
                <w:b w:val="0"/>
              </w:rPr>
              <w:t xml:space="preserve">Formats can include: multiple-choice questions, calculations and/or short answer questions that can require a definition, description, explanation or application of economic concepts, theories and/or models. Typically questions require students to interpret real or hypothetical economic data or information, such as graphs, tables, text or cartoons. </w:t>
            </w:r>
          </w:p>
          <w:p w:rsidR="00EA1682" w:rsidRDefault="00EA1682">
            <w:pPr>
              <w:spacing w:before="40" w:beforeAutospacing="0" w:after="40" w:afterAutospacing="0" w:line="228" w:lineRule="auto"/>
              <w:jc w:val="left"/>
              <w:rPr>
                <w:rFonts w:cstheme="minorBidi"/>
                <w:b w:val="0"/>
              </w:rPr>
            </w:pPr>
            <w:r>
              <w:rPr>
                <w:rFonts w:cstheme="minorBidi"/>
                <w:b w:val="0"/>
              </w:rPr>
              <w:t xml:space="preserve">Typically tasks are a combination of these formats. </w:t>
            </w:r>
          </w:p>
          <w:p w:rsidR="00EA1682" w:rsidRDefault="00EA1682">
            <w:pPr>
              <w:spacing w:before="40" w:beforeAutospacing="0" w:after="40" w:afterAutospacing="0" w:line="228" w:lineRule="auto"/>
              <w:jc w:val="left"/>
              <w:rPr>
                <w:rFonts w:cstheme="minorBidi"/>
                <w:b w:val="0"/>
              </w:rPr>
            </w:pPr>
            <w:r>
              <w:rPr>
                <w:rFonts w:cstheme="minorBidi"/>
                <w:b w:val="0"/>
              </w:rPr>
              <w:t>At least two data interpretation/short answer tasks should be administered under test conditions.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:rsidR="00EA1682" w:rsidRDefault="00EA1682">
            <w:pPr>
              <w:spacing w:before="40" w:beforeAutospacing="0" w:after="40" w:afterAutospacing="0" w:line="228" w:lineRule="auto"/>
              <w:jc w:val="center"/>
            </w:pPr>
            <w:r>
              <w:t>30%</w:t>
            </w:r>
          </w:p>
        </w:tc>
      </w:tr>
      <w:tr w:rsidR="00EA1682" w:rsidTr="00EA16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tcBorders>
              <w:top w:val="nil"/>
              <w:left w:val="single" w:sz="8" w:space="0" w:color="8064A2" w:themeColor="accent4"/>
              <w:bottom w:val="nil"/>
              <w:right w:val="nil"/>
            </w:tcBorders>
            <w:hideMark/>
          </w:tcPr>
          <w:p w:rsidR="00EA1682" w:rsidRDefault="00EA1682">
            <w:pPr>
              <w:spacing w:before="40" w:beforeAutospacing="0" w:after="40" w:afterAutospacing="0" w:line="228" w:lineRule="auto"/>
              <w:jc w:val="left"/>
              <w:rPr>
                <w:rFonts w:cstheme="minorBidi"/>
              </w:rPr>
            </w:pPr>
            <w:r>
              <w:rPr>
                <w:rFonts w:cstheme="minorBidi"/>
              </w:rPr>
              <w:t>Extended answer</w:t>
            </w:r>
          </w:p>
          <w:p w:rsidR="00EA1682" w:rsidRDefault="00EA1682">
            <w:pPr>
              <w:spacing w:before="40" w:beforeAutospacing="0" w:after="40" w:afterAutospacing="0" w:line="228" w:lineRule="auto"/>
              <w:jc w:val="left"/>
              <w:rPr>
                <w:rFonts w:cstheme="minorBidi"/>
                <w:b w:val="0"/>
              </w:rPr>
            </w:pPr>
            <w:r>
              <w:rPr>
                <w:rFonts w:cstheme="minorBidi"/>
                <w:b w:val="0"/>
              </w:rPr>
              <w:t>The question can require a description, discussion, explanation and/or analysis of an economic concept, event or issue, and the application of economic theories and/or models. The question can include stimulus material.</w:t>
            </w:r>
          </w:p>
          <w:p w:rsidR="00EA1682" w:rsidRDefault="00EA1682">
            <w:pPr>
              <w:spacing w:before="40" w:beforeAutospacing="0" w:after="40" w:afterAutospacing="0" w:line="228" w:lineRule="auto"/>
              <w:jc w:val="left"/>
              <w:rPr>
                <w:rFonts w:cstheme="minorBidi"/>
                <w:b w:val="0"/>
              </w:rPr>
            </w:pPr>
            <w:r>
              <w:rPr>
                <w:rFonts w:cstheme="minorBidi"/>
                <w:b w:val="0"/>
              </w:rPr>
              <w:t>Formats can include: an essay, a sectionalised long answer, an investigation and/or a response to a scenario or a case study.</w:t>
            </w:r>
          </w:p>
          <w:p w:rsidR="00EA1682" w:rsidRDefault="00EA1682">
            <w:pPr>
              <w:spacing w:before="40" w:beforeAutospacing="0" w:after="40" w:afterAutospacing="0" w:line="228" w:lineRule="auto"/>
              <w:jc w:val="left"/>
              <w:rPr>
                <w:rFonts w:cstheme="minorBidi"/>
                <w:b w:val="0"/>
                <w:szCs w:val="22"/>
              </w:rPr>
            </w:pPr>
            <w:r>
              <w:rPr>
                <w:rFonts w:cstheme="minorBidi"/>
                <w:b w:val="0"/>
              </w:rPr>
              <w:t>At least two extended answer tasks should be administered under test conditions.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il"/>
              <w:bottom w:val="nil"/>
            </w:tcBorders>
            <w:hideMark/>
          </w:tcPr>
          <w:p w:rsidR="00EA1682" w:rsidRDefault="00EA1682">
            <w:pPr>
              <w:spacing w:before="40" w:beforeAutospacing="0" w:after="40" w:afterAutospacing="0" w:line="228" w:lineRule="auto"/>
              <w:jc w:val="center"/>
            </w:pPr>
            <w:r>
              <w:t>40%</w:t>
            </w:r>
          </w:p>
        </w:tc>
      </w:tr>
      <w:tr w:rsidR="00EA1682" w:rsidTr="00EA1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tcBorders>
              <w:right w:val="nil"/>
            </w:tcBorders>
            <w:hideMark/>
          </w:tcPr>
          <w:p w:rsidR="00EA1682" w:rsidRDefault="00EA1682">
            <w:pPr>
              <w:spacing w:before="40" w:beforeAutospacing="0" w:after="40" w:afterAutospacing="0" w:line="228" w:lineRule="auto"/>
              <w:jc w:val="left"/>
              <w:rPr>
                <w:rFonts w:cstheme="minorBidi"/>
                <w:b w:val="0"/>
              </w:rPr>
            </w:pPr>
            <w:r>
              <w:rPr>
                <w:rFonts w:cstheme="minorBidi"/>
              </w:rPr>
              <w:t>Examination</w:t>
            </w:r>
          </w:p>
          <w:p w:rsidR="00EA1682" w:rsidRDefault="00EA1682">
            <w:pPr>
              <w:spacing w:before="40" w:beforeAutospacing="0" w:after="40" w:afterAutospacing="0" w:line="228" w:lineRule="auto"/>
              <w:jc w:val="left"/>
              <w:rPr>
                <w:rFonts w:cstheme="minorBidi"/>
                <w:b w:val="0"/>
                <w:szCs w:val="22"/>
              </w:rPr>
            </w:pPr>
            <w:r>
              <w:rPr>
                <w:rFonts w:cstheme="minorBidi"/>
                <w:b w:val="0"/>
              </w:rPr>
              <w:t xml:space="preserve">Typically conducted at the end of each semester and/or unit. In preparation for Unit 3 and Unit 4, the examination should reflect the examination design brief included in the </w:t>
            </w:r>
            <w:proofErr w:type="spellStart"/>
            <w:r>
              <w:rPr>
                <w:rFonts w:cstheme="minorBidi"/>
                <w:b w:val="0"/>
              </w:rPr>
              <w:t>ATAR</w:t>
            </w:r>
            <w:proofErr w:type="spellEnd"/>
            <w:r>
              <w:rPr>
                <w:rFonts w:cstheme="minorBidi"/>
                <w:b w:val="0"/>
              </w:rPr>
              <w:t xml:space="preserve"> Year 12 syllabus for this course.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:rsidR="00EA1682" w:rsidRDefault="00EA1682">
            <w:pPr>
              <w:spacing w:before="40" w:beforeAutospacing="0" w:after="40" w:afterAutospacing="0" w:line="228" w:lineRule="auto"/>
              <w:jc w:val="center"/>
            </w:pPr>
            <w:r>
              <w:t>30%</w:t>
            </w:r>
          </w:p>
        </w:tc>
      </w:tr>
    </w:tbl>
    <w:p w:rsidR="00EA1682" w:rsidRDefault="00EA1682" w:rsidP="00EA1682">
      <w:pPr>
        <w:spacing w:before="120" w:line="228" w:lineRule="auto"/>
        <w:rPr>
          <w:rFonts w:eastAsia="Times New Roman" w:cs="Calibri"/>
          <w:color w:val="000000" w:themeColor="text1"/>
        </w:rPr>
      </w:pPr>
    </w:p>
    <w:p w:rsidR="00EA1682" w:rsidRDefault="00EA1682" w:rsidP="00EA1682">
      <w:pPr>
        <w:spacing w:before="120" w:line="228" w:lineRule="auto"/>
        <w:rPr>
          <w:rFonts w:eastAsia="Times New Roman" w:cs="Calibri"/>
          <w:color w:val="000000" w:themeColor="text1"/>
        </w:rPr>
      </w:pPr>
    </w:p>
    <w:p w:rsidR="00EA1682" w:rsidRDefault="00EA1682" w:rsidP="00EA1682">
      <w:pPr>
        <w:spacing w:before="120" w:line="228" w:lineRule="auto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 xml:space="preserve">Year 11 </w:t>
      </w: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ATAR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 xml:space="preserve"> Economics </w:t>
      </w:r>
    </w:p>
    <w:p w:rsidR="00EA1682" w:rsidRDefault="00EA1682" w:rsidP="00EA1682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before="120" w:line="228" w:lineRule="auto"/>
        <w:rPr>
          <w:rFonts w:eastAsia="Times New Roman" w:cs="Calibri"/>
          <w:b/>
          <w:color w:val="000000" w:themeColor="text1"/>
          <w:u w:val="single"/>
        </w:rPr>
      </w:pPr>
      <w:r>
        <w:rPr>
          <w:rFonts w:eastAsia="Times New Roman" w:cs="Calibri"/>
          <w:b/>
          <w:color w:val="000000" w:themeColor="text1"/>
          <w:u w:val="single"/>
        </w:rPr>
        <w:t>EXAM STRUCTURE SEMESTER ONE: 2.5 hours, SEMESTER TWO: 3 hours</w:t>
      </w:r>
    </w:p>
    <w:p w:rsidR="00EA1682" w:rsidRDefault="00EA1682" w:rsidP="00EA1682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before="120" w:line="228" w:lineRule="auto"/>
        <w:rPr>
          <w:rFonts w:eastAsia="Times New Roman" w:cs="Calibri"/>
          <w:b/>
          <w:color w:val="000000" w:themeColor="text1"/>
        </w:rPr>
      </w:pPr>
      <w:r>
        <w:rPr>
          <w:rFonts w:eastAsia="Times New Roman" w:cs="Calibri"/>
          <w:b/>
          <w:color w:val="000000" w:themeColor="text1"/>
        </w:rPr>
        <w:t>Section One</w:t>
      </w:r>
    </w:p>
    <w:p w:rsidR="00EA1682" w:rsidRDefault="00EA1682" w:rsidP="00EA1682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before="120" w:line="228" w:lineRule="auto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 xml:space="preserve">Semester 1: 24 x Multiple Choice questions, 24 marks, 30% of paper. </w:t>
      </w:r>
      <w:proofErr w:type="gramStart"/>
      <w:r>
        <w:rPr>
          <w:rFonts w:eastAsia="Times New Roman" w:cs="Calibri"/>
          <w:color w:val="000000" w:themeColor="text1"/>
        </w:rPr>
        <w:t>Suggested working time – 30 minutes.</w:t>
      </w:r>
      <w:proofErr w:type="gramEnd"/>
    </w:p>
    <w:p w:rsidR="00EA1682" w:rsidRDefault="00EA1682" w:rsidP="00EA1682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before="120" w:line="228" w:lineRule="auto"/>
        <w:rPr>
          <w:rFonts w:eastAsia="Times New Roman" w:cs="Calibri"/>
          <w:color w:val="000000" w:themeColor="text1"/>
        </w:rPr>
      </w:pPr>
      <w:proofErr w:type="gramStart"/>
      <w:r>
        <w:rPr>
          <w:rFonts w:eastAsia="Times New Roman" w:cs="Calibri"/>
          <w:color w:val="000000" w:themeColor="text1"/>
        </w:rPr>
        <w:t>Semester 2: 24 x Multiple Choice questions, 24 marks, 24% of paper.</w:t>
      </w:r>
      <w:proofErr w:type="gramEnd"/>
      <w:r>
        <w:rPr>
          <w:rFonts w:eastAsia="Times New Roman" w:cs="Calibri"/>
          <w:color w:val="000000" w:themeColor="text1"/>
        </w:rPr>
        <w:t xml:space="preserve"> </w:t>
      </w:r>
      <w:proofErr w:type="gramStart"/>
      <w:r>
        <w:rPr>
          <w:rFonts w:eastAsia="Times New Roman" w:cs="Calibri"/>
          <w:color w:val="000000" w:themeColor="text1"/>
        </w:rPr>
        <w:t>Suggested working time – 30 minutes.</w:t>
      </w:r>
      <w:proofErr w:type="gramEnd"/>
    </w:p>
    <w:p w:rsidR="00EA1682" w:rsidRDefault="00EA1682" w:rsidP="00EA1682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before="120" w:line="228" w:lineRule="auto"/>
        <w:rPr>
          <w:rFonts w:eastAsia="Times New Roman" w:cs="Calibri"/>
          <w:color w:val="000000" w:themeColor="text1"/>
        </w:rPr>
      </w:pPr>
    </w:p>
    <w:p w:rsidR="00EA1682" w:rsidRDefault="00EA1682" w:rsidP="00EA1682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before="120" w:line="228" w:lineRule="auto"/>
        <w:rPr>
          <w:rFonts w:eastAsia="Times New Roman" w:cs="Calibri"/>
          <w:b/>
          <w:color w:val="000000" w:themeColor="text1"/>
        </w:rPr>
      </w:pPr>
      <w:r>
        <w:rPr>
          <w:rFonts w:eastAsia="Times New Roman" w:cs="Calibri"/>
          <w:b/>
          <w:color w:val="000000" w:themeColor="text1"/>
        </w:rPr>
        <w:t>Section Two</w:t>
      </w:r>
    </w:p>
    <w:p w:rsidR="00EA1682" w:rsidRDefault="00EA1682" w:rsidP="00EA1682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before="120" w:line="228" w:lineRule="auto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 xml:space="preserve">Semester 1: 3 x Data interpretation/Short </w:t>
      </w:r>
      <w:proofErr w:type="gramStart"/>
      <w:r>
        <w:rPr>
          <w:rFonts w:eastAsia="Times New Roman" w:cs="Calibri"/>
          <w:color w:val="000000" w:themeColor="text1"/>
        </w:rPr>
        <w:t>Answer</w:t>
      </w:r>
      <w:proofErr w:type="gramEnd"/>
      <w:r>
        <w:rPr>
          <w:rFonts w:eastAsia="Times New Roman" w:cs="Calibri"/>
          <w:color w:val="000000" w:themeColor="text1"/>
        </w:rPr>
        <w:t xml:space="preserve"> questions, 36 marks, 45% of paper. </w:t>
      </w:r>
      <w:proofErr w:type="gramStart"/>
      <w:r>
        <w:rPr>
          <w:rFonts w:eastAsia="Times New Roman" w:cs="Calibri"/>
          <w:color w:val="000000" w:themeColor="text1"/>
        </w:rPr>
        <w:t>Suggested working time 75 minutes.</w:t>
      </w:r>
      <w:proofErr w:type="gramEnd"/>
    </w:p>
    <w:p w:rsidR="00EA1682" w:rsidRDefault="00EA1682" w:rsidP="00EA1682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before="120" w:line="228" w:lineRule="auto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 xml:space="preserve">Semester 2: 3 x Data interpretation/Short </w:t>
      </w:r>
      <w:proofErr w:type="gramStart"/>
      <w:r>
        <w:rPr>
          <w:rFonts w:eastAsia="Times New Roman" w:cs="Calibri"/>
          <w:color w:val="000000" w:themeColor="text1"/>
        </w:rPr>
        <w:t>Answer</w:t>
      </w:r>
      <w:proofErr w:type="gramEnd"/>
      <w:r>
        <w:rPr>
          <w:rFonts w:eastAsia="Times New Roman" w:cs="Calibri"/>
          <w:color w:val="000000" w:themeColor="text1"/>
        </w:rPr>
        <w:t xml:space="preserve"> questions, 36 marks, 36% of paper. </w:t>
      </w:r>
      <w:proofErr w:type="gramStart"/>
      <w:r>
        <w:rPr>
          <w:rFonts w:eastAsia="Times New Roman" w:cs="Calibri"/>
          <w:color w:val="000000" w:themeColor="text1"/>
        </w:rPr>
        <w:t>Suggested working time 70 minutes.</w:t>
      </w:r>
      <w:proofErr w:type="gramEnd"/>
    </w:p>
    <w:p w:rsidR="00EA1682" w:rsidRDefault="00EA1682" w:rsidP="00EA1682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before="120" w:line="228" w:lineRule="auto"/>
        <w:rPr>
          <w:rFonts w:eastAsia="Times New Roman" w:cs="Calibri"/>
          <w:color w:val="000000" w:themeColor="text1"/>
        </w:rPr>
      </w:pPr>
    </w:p>
    <w:p w:rsidR="00EA1682" w:rsidRDefault="00EA1682" w:rsidP="00EA1682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before="120" w:line="228" w:lineRule="auto"/>
        <w:rPr>
          <w:rFonts w:eastAsia="Times New Roman" w:cs="Calibri"/>
          <w:b/>
          <w:color w:val="000000" w:themeColor="text1"/>
        </w:rPr>
      </w:pPr>
      <w:r>
        <w:rPr>
          <w:rFonts w:eastAsia="Times New Roman" w:cs="Calibri"/>
          <w:b/>
          <w:color w:val="000000" w:themeColor="text1"/>
        </w:rPr>
        <w:lastRenderedPageBreak/>
        <w:t>Section Three</w:t>
      </w:r>
    </w:p>
    <w:p w:rsidR="00EA1682" w:rsidRDefault="00EA1682" w:rsidP="00EA1682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before="120" w:line="228" w:lineRule="auto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 xml:space="preserve">Semester 1: Extended </w:t>
      </w:r>
      <w:proofErr w:type="gramStart"/>
      <w:r>
        <w:rPr>
          <w:rFonts w:eastAsia="Times New Roman" w:cs="Calibri"/>
          <w:color w:val="000000" w:themeColor="text1"/>
        </w:rPr>
        <w:t>Answer ,</w:t>
      </w:r>
      <w:proofErr w:type="gramEnd"/>
      <w:r>
        <w:rPr>
          <w:rFonts w:eastAsia="Times New Roman" w:cs="Calibri"/>
          <w:color w:val="000000" w:themeColor="text1"/>
        </w:rPr>
        <w:t xml:space="preserve"> 20 marks, 25% of paper,  1 Question (from a choice of 2). </w:t>
      </w:r>
      <w:proofErr w:type="gramStart"/>
      <w:r>
        <w:rPr>
          <w:rFonts w:eastAsia="Times New Roman" w:cs="Calibri"/>
          <w:color w:val="000000" w:themeColor="text1"/>
        </w:rPr>
        <w:t>Suggested working time 45 minutes.</w:t>
      </w:r>
      <w:proofErr w:type="gramEnd"/>
    </w:p>
    <w:p w:rsidR="00EA1682" w:rsidRDefault="00EA1682" w:rsidP="00EA1682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before="120" w:line="228" w:lineRule="auto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 xml:space="preserve">Semester 2: Extended </w:t>
      </w:r>
      <w:proofErr w:type="gramStart"/>
      <w:r>
        <w:rPr>
          <w:rFonts w:eastAsia="Times New Roman" w:cs="Calibri"/>
          <w:color w:val="000000" w:themeColor="text1"/>
        </w:rPr>
        <w:t>Answer ,</w:t>
      </w:r>
      <w:proofErr w:type="gramEnd"/>
      <w:r>
        <w:rPr>
          <w:rFonts w:eastAsia="Times New Roman" w:cs="Calibri"/>
          <w:color w:val="000000" w:themeColor="text1"/>
        </w:rPr>
        <w:t xml:space="preserve"> 40 marks, 40% of paper,  2 Questions (from a choice of 4). </w:t>
      </w:r>
      <w:proofErr w:type="gramStart"/>
      <w:r>
        <w:rPr>
          <w:rFonts w:eastAsia="Times New Roman" w:cs="Calibri"/>
          <w:color w:val="000000" w:themeColor="text1"/>
        </w:rPr>
        <w:t>Suggested working time 80 minutes.</w:t>
      </w:r>
      <w:proofErr w:type="gramEnd"/>
    </w:p>
    <w:p w:rsidR="00EA1682" w:rsidRDefault="00EA1682" w:rsidP="00EA1682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before="120" w:line="228" w:lineRule="auto"/>
        <w:rPr>
          <w:rFonts w:eastAsia="Times New Roman" w:cs="Calibri"/>
          <w:color w:val="000000" w:themeColor="text1"/>
        </w:rPr>
      </w:pPr>
    </w:p>
    <w:p w:rsidR="00BA645F" w:rsidRDefault="00EA1682">
      <w:bookmarkStart w:id="2" w:name="_GoBack"/>
      <w:bookmarkEnd w:id="2"/>
    </w:p>
    <w:sectPr w:rsidR="00BA6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82"/>
    <w:rsid w:val="00177790"/>
    <w:rsid w:val="003C7623"/>
    <w:rsid w:val="006C7628"/>
    <w:rsid w:val="00833CC7"/>
    <w:rsid w:val="00BD0A6B"/>
    <w:rsid w:val="00EA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682"/>
    <w:pPr>
      <w:spacing w:after="120" w:line="264" w:lineRule="auto"/>
    </w:pPr>
    <w:rPr>
      <w:rFonts w:ascii="Calibri" w:eastAsiaTheme="minorEastAsia" w:hAnsi="Calibri"/>
    </w:rPr>
  </w:style>
  <w:style w:type="paragraph" w:styleId="Heading1">
    <w:name w:val="heading 1"/>
    <w:basedOn w:val="Normal"/>
    <w:next w:val="Normal"/>
    <w:link w:val="Heading1Char"/>
    <w:qFormat/>
    <w:rsid w:val="00EA1682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1682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table" w:styleId="LightList-Accent4">
    <w:name w:val="Light List Accent 4"/>
    <w:aliases w:val="Syllabus tables"/>
    <w:basedOn w:val="TableNormal"/>
    <w:uiPriority w:val="61"/>
    <w:rsid w:val="00EA1682"/>
    <w:pPr>
      <w:spacing w:after="0" w:line="240" w:lineRule="auto"/>
    </w:pPr>
    <w:rPr>
      <w:rFonts w:ascii="Arial" w:eastAsiaTheme="minorEastAsia" w:hAnsi="Arial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100" w:beforeAutospacing="1" w:afterLines="0" w:after="100" w:afterAutospacing="1" w:line="240" w:lineRule="auto"/>
        <w:jc w:val="left"/>
      </w:pPr>
      <w:rPr>
        <w:rFonts w:ascii="Arial" w:hAnsi="Arial" w:cs="Arial" w:hint="default"/>
        <w:b/>
        <w:bCs/>
        <w:color w:val="FFFFFF" w:themeColor="background1"/>
        <w:sz w:val="20"/>
        <w:szCs w:val="20"/>
      </w:rPr>
      <w:tblPr/>
      <w:tcPr>
        <w:shd w:val="clear" w:color="auto" w:fill="8064A2" w:themeFill="accent4"/>
        <w:vAlign w:val="center"/>
      </w:tcPr>
    </w:tblStylePr>
    <w:tblStylePr w:type="lastRow">
      <w:pPr>
        <w:wordWrap/>
        <w:spacing w:beforeLines="0" w:before="100" w:beforeAutospacing="1" w:afterLines="0" w:after="100" w:afterAutospacing="1" w:line="240" w:lineRule="auto"/>
        <w:jc w:val="left"/>
      </w:pPr>
      <w:rPr>
        <w:rFonts w:ascii="Arial" w:hAnsi="Arial" w:cs="Arial" w:hint="default"/>
        <w:b/>
        <w:bCs/>
        <w:sz w:val="20"/>
        <w:szCs w:val="20"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pPr>
        <w:wordWrap/>
        <w:spacing w:beforeLines="0" w:before="100" w:beforeAutospacing="1" w:afterLines="0" w:after="100" w:afterAutospacing="1" w:line="240" w:lineRule="auto"/>
        <w:jc w:val="center"/>
      </w:pPr>
      <w:rPr>
        <w:rFonts w:ascii="Arial" w:hAnsi="Arial" w:cs="Arial" w:hint="default"/>
        <w:b/>
        <w:bCs/>
        <w:sz w:val="18"/>
        <w:szCs w:val="18"/>
      </w:rPr>
      <w:tblPr/>
      <w:tcPr>
        <w:vAlign w:val="center"/>
      </w:tcPr>
    </w:tblStylePr>
    <w:tblStylePr w:type="lastCol">
      <w:pPr>
        <w:wordWrap/>
        <w:spacing w:beforeLines="0" w:before="100" w:beforeAutospacing="1" w:afterLines="0" w:after="100" w:afterAutospacing="1" w:line="240" w:lineRule="auto"/>
        <w:jc w:val="center"/>
      </w:pPr>
      <w:rPr>
        <w:rFonts w:ascii="Arial" w:hAnsi="Arial" w:cs="Arial" w:hint="default"/>
        <w:b/>
        <w:bCs/>
        <w:sz w:val="20"/>
        <w:szCs w:val="20"/>
      </w:rPr>
      <w:tblPr/>
      <w:tcPr>
        <w:vAlign w:val="center"/>
      </w:tcPr>
    </w:tblStylePr>
    <w:tblStylePr w:type="band1Vert">
      <w:pPr>
        <w:wordWrap/>
        <w:spacing w:beforeLines="0" w:before="100" w:beforeAutospacing="1" w:afterLines="0" w:after="100" w:afterAutospacing="1" w:line="240" w:lineRule="auto"/>
        <w:jc w:val="left"/>
      </w:p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2Vert">
      <w:pPr>
        <w:wordWrap/>
        <w:spacing w:beforeLines="0" w:before="100" w:beforeAutospacing="1" w:afterLines="0" w:after="100" w:afterAutospacing="1" w:line="240" w:lineRule="auto"/>
        <w:jc w:val="left"/>
      </w:pPr>
    </w:tblStylePr>
    <w:tblStylePr w:type="band1Horz">
      <w:pPr>
        <w:wordWrap/>
        <w:spacing w:beforeLines="0" w:before="100" w:beforeAutospacing="1" w:afterLines="0" w:after="100" w:afterAutospacing="1" w:line="240" w:lineRule="auto"/>
        <w:jc w:val="left"/>
      </w:p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2Horz">
      <w:pPr>
        <w:wordWrap/>
        <w:spacing w:beforeLines="0" w:before="100" w:beforeAutospacing="1" w:afterLines="0" w:after="100" w:afterAutospacing="1" w:line="240" w:lineRule="auto"/>
        <w:jc w:val="left"/>
      </w:p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682"/>
    <w:pPr>
      <w:spacing w:after="120" w:line="264" w:lineRule="auto"/>
    </w:pPr>
    <w:rPr>
      <w:rFonts w:ascii="Calibri" w:eastAsiaTheme="minorEastAsia" w:hAnsi="Calibri"/>
    </w:rPr>
  </w:style>
  <w:style w:type="paragraph" w:styleId="Heading1">
    <w:name w:val="heading 1"/>
    <w:basedOn w:val="Normal"/>
    <w:next w:val="Normal"/>
    <w:link w:val="Heading1Char"/>
    <w:qFormat/>
    <w:rsid w:val="00EA1682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1682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table" w:styleId="LightList-Accent4">
    <w:name w:val="Light List Accent 4"/>
    <w:aliases w:val="Syllabus tables"/>
    <w:basedOn w:val="TableNormal"/>
    <w:uiPriority w:val="61"/>
    <w:rsid w:val="00EA1682"/>
    <w:pPr>
      <w:spacing w:after="0" w:line="240" w:lineRule="auto"/>
    </w:pPr>
    <w:rPr>
      <w:rFonts w:ascii="Arial" w:eastAsiaTheme="minorEastAsia" w:hAnsi="Arial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100" w:beforeAutospacing="1" w:afterLines="0" w:after="100" w:afterAutospacing="1" w:line="240" w:lineRule="auto"/>
        <w:jc w:val="left"/>
      </w:pPr>
      <w:rPr>
        <w:rFonts w:ascii="Arial" w:hAnsi="Arial" w:cs="Arial" w:hint="default"/>
        <w:b/>
        <w:bCs/>
        <w:color w:val="FFFFFF" w:themeColor="background1"/>
        <w:sz w:val="20"/>
        <w:szCs w:val="20"/>
      </w:rPr>
      <w:tblPr/>
      <w:tcPr>
        <w:shd w:val="clear" w:color="auto" w:fill="8064A2" w:themeFill="accent4"/>
        <w:vAlign w:val="center"/>
      </w:tcPr>
    </w:tblStylePr>
    <w:tblStylePr w:type="lastRow">
      <w:pPr>
        <w:wordWrap/>
        <w:spacing w:beforeLines="0" w:before="100" w:beforeAutospacing="1" w:afterLines="0" w:after="100" w:afterAutospacing="1" w:line="240" w:lineRule="auto"/>
        <w:jc w:val="left"/>
      </w:pPr>
      <w:rPr>
        <w:rFonts w:ascii="Arial" w:hAnsi="Arial" w:cs="Arial" w:hint="default"/>
        <w:b/>
        <w:bCs/>
        <w:sz w:val="20"/>
        <w:szCs w:val="20"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pPr>
        <w:wordWrap/>
        <w:spacing w:beforeLines="0" w:before="100" w:beforeAutospacing="1" w:afterLines="0" w:after="100" w:afterAutospacing="1" w:line="240" w:lineRule="auto"/>
        <w:jc w:val="center"/>
      </w:pPr>
      <w:rPr>
        <w:rFonts w:ascii="Arial" w:hAnsi="Arial" w:cs="Arial" w:hint="default"/>
        <w:b/>
        <w:bCs/>
        <w:sz w:val="18"/>
        <w:szCs w:val="18"/>
      </w:rPr>
      <w:tblPr/>
      <w:tcPr>
        <w:vAlign w:val="center"/>
      </w:tcPr>
    </w:tblStylePr>
    <w:tblStylePr w:type="lastCol">
      <w:pPr>
        <w:wordWrap/>
        <w:spacing w:beforeLines="0" w:before="100" w:beforeAutospacing="1" w:afterLines="0" w:after="100" w:afterAutospacing="1" w:line="240" w:lineRule="auto"/>
        <w:jc w:val="center"/>
      </w:pPr>
      <w:rPr>
        <w:rFonts w:ascii="Arial" w:hAnsi="Arial" w:cs="Arial" w:hint="default"/>
        <w:b/>
        <w:bCs/>
        <w:sz w:val="20"/>
        <w:szCs w:val="20"/>
      </w:rPr>
      <w:tblPr/>
      <w:tcPr>
        <w:vAlign w:val="center"/>
      </w:tcPr>
    </w:tblStylePr>
    <w:tblStylePr w:type="band1Vert">
      <w:pPr>
        <w:wordWrap/>
        <w:spacing w:beforeLines="0" w:before="100" w:beforeAutospacing="1" w:afterLines="0" w:after="100" w:afterAutospacing="1" w:line="240" w:lineRule="auto"/>
        <w:jc w:val="left"/>
      </w:p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2Vert">
      <w:pPr>
        <w:wordWrap/>
        <w:spacing w:beforeLines="0" w:before="100" w:beforeAutospacing="1" w:afterLines="0" w:after="100" w:afterAutospacing="1" w:line="240" w:lineRule="auto"/>
        <w:jc w:val="left"/>
      </w:pPr>
    </w:tblStylePr>
    <w:tblStylePr w:type="band1Horz">
      <w:pPr>
        <w:wordWrap/>
        <w:spacing w:beforeLines="0" w:before="100" w:beforeAutospacing="1" w:afterLines="0" w:after="100" w:afterAutospacing="1" w:line="240" w:lineRule="auto"/>
        <w:jc w:val="left"/>
      </w:p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2Horz">
      <w:pPr>
        <w:wordWrap/>
        <w:spacing w:beforeLines="0" w:before="100" w:beforeAutospacing="1" w:afterLines="0" w:after="100" w:afterAutospacing="1" w:line="240" w:lineRule="auto"/>
        <w:jc w:val="left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A19EE14D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REILLY Natalie</dc:creator>
  <cp:lastModifiedBy>REILLY Natalie</cp:lastModifiedBy>
  <cp:revision>1</cp:revision>
  <dcterms:created xsi:type="dcterms:W3CDTF">2017-02-24T07:34:00Z</dcterms:created>
  <dcterms:modified xsi:type="dcterms:W3CDTF">2017-02-24T07:35:00Z</dcterms:modified>
</cp:coreProperties>
</file>